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15DFB" w:rsidP="006D61C9" w:rsidRDefault="00852C16" w14:paraId="31C9530B" w14:textId="77777777">
      <w:pPr>
        <w:tabs>
          <w:tab w:val="left" w:pos="3240"/>
        </w:tabs>
        <w:rPr>
          <w:rFonts w:asciiTheme="majorHAnsi" w:hAnsiTheme="majorHAnsi"/>
          <w:sz w:val="22"/>
          <w:szCs w:val="22"/>
        </w:rPr>
      </w:pPr>
      <w:r>
        <w:rPr>
          <w:rFonts w:asciiTheme="majorHAnsi" w:hAnsiTheme="majorHAnsi"/>
          <w:noProof/>
          <w:sz w:val="22"/>
          <w:szCs w:val="22"/>
        </w:rPr>
        <w:drawing>
          <wp:anchor distT="0" distB="0" distL="114300" distR="114300" simplePos="0" relativeHeight="251658240" behindDoc="1" locked="0" layoutInCell="1" allowOverlap="1" wp14:anchorId="6EEB30B5" wp14:editId="3FCC57F6">
            <wp:simplePos x="0" y="0"/>
            <wp:positionH relativeFrom="page">
              <wp:posOffset>-6350</wp:posOffset>
            </wp:positionH>
            <wp:positionV relativeFrom="paragraph">
              <wp:posOffset>-816719</wp:posOffset>
            </wp:positionV>
            <wp:extent cx="7553960" cy="10678873"/>
            <wp:effectExtent l="0" t="0" r="8890" b="8255"/>
            <wp:wrapNone/>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 template background cop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3960" cy="10678873"/>
                    </a:xfrm>
                    <a:prstGeom prst="rect">
                      <a:avLst/>
                    </a:prstGeom>
                  </pic:spPr>
                </pic:pic>
              </a:graphicData>
            </a:graphic>
            <wp14:sizeRelH relativeFrom="margin">
              <wp14:pctWidth>0</wp14:pctWidth>
            </wp14:sizeRelH>
            <wp14:sizeRelV relativeFrom="margin">
              <wp14:pctHeight>0</wp14:pctHeight>
            </wp14:sizeRelV>
          </wp:anchor>
        </w:drawing>
      </w:r>
    </w:p>
    <w:p w:rsidR="00215DFB" w:rsidP="006D61C9" w:rsidRDefault="00215DFB" w14:paraId="13839036" w14:textId="77777777">
      <w:pPr>
        <w:tabs>
          <w:tab w:val="left" w:pos="3240"/>
        </w:tabs>
        <w:rPr>
          <w:rFonts w:asciiTheme="majorHAnsi" w:hAnsiTheme="majorHAnsi"/>
          <w:sz w:val="22"/>
          <w:szCs w:val="22"/>
        </w:rPr>
      </w:pPr>
    </w:p>
    <w:p w:rsidR="00215DFB" w:rsidP="006D61C9" w:rsidRDefault="00215DFB" w14:paraId="39401879" w14:textId="77777777">
      <w:pPr>
        <w:tabs>
          <w:tab w:val="left" w:pos="3240"/>
        </w:tabs>
        <w:rPr>
          <w:rFonts w:asciiTheme="majorHAnsi" w:hAnsiTheme="majorHAnsi"/>
          <w:sz w:val="22"/>
          <w:szCs w:val="22"/>
        </w:rPr>
      </w:pPr>
    </w:p>
    <w:p w:rsidR="00215DFB" w:rsidP="006D61C9" w:rsidRDefault="00215DFB" w14:paraId="6AF79DEA" w14:textId="77777777">
      <w:pPr>
        <w:tabs>
          <w:tab w:val="left" w:pos="3240"/>
        </w:tabs>
        <w:rPr>
          <w:rFonts w:asciiTheme="majorHAnsi" w:hAnsiTheme="majorHAnsi"/>
          <w:sz w:val="22"/>
          <w:szCs w:val="22"/>
        </w:rPr>
      </w:pPr>
    </w:p>
    <w:p w:rsidR="00215DFB" w:rsidP="006D61C9" w:rsidRDefault="00215DFB" w14:paraId="3872108C" w14:textId="77777777">
      <w:pPr>
        <w:tabs>
          <w:tab w:val="left" w:pos="3240"/>
        </w:tabs>
        <w:rPr>
          <w:rFonts w:asciiTheme="majorHAnsi" w:hAnsiTheme="majorHAnsi"/>
          <w:sz w:val="22"/>
          <w:szCs w:val="22"/>
        </w:rPr>
      </w:pPr>
    </w:p>
    <w:p w:rsidR="00215DFB" w:rsidP="006D61C9" w:rsidRDefault="00215DFB" w14:paraId="0AF18C20" w14:textId="77777777">
      <w:pPr>
        <w:tabs>
          <w:tab w:val="left" w:pos="3240"/>
        </w:tabs>
        <w:rPr>
          <w:rFonts w:asciiTheme="majorHAnsi" w:hAnsiTheme="majorHAnsi"/>
          <w:sz w:val="22"/>
          <w:szCs w:val="22"/>
        </w:rPr>
      </w:pPr>
    </w:p>
    <w:p w:rsidR="00215DFB" w:rsidP="006D61C9" w:rsidRDefault="00215DFB" w14:paraId="6F99631E" w14:textId="77777777">
      <w:pPr>
        <w:tabs>
          <w:tab w:val="left" w:pos="3240"/>
        </w:tabs>
        <w:rPr>
          <w:rFonts w:asciiTheme="majorHAnsi" w:hAnsiTheme="majorHAnsi"/>
          <w:sz w:val="22"/>
          <w:szCs w:val="22"/>
        </w:rPr>
      </w:pPr>
    </w:p>
    <w:p w:rsidR="00215DFB" w:rsidP="006D61C9" w:rsidRDefault="00215DFB" w14:paraId="6A7C5847" w14:textId="77777777">
      <w:pPr>
        <w:tabs>
          <w:tab w:val="left" w:pos="3240"/>
        </w:tabs>
        <w:rPr>
          <w:rFonts w:asciiTheme="majorHAnsi" w:hAnsiTheme="majorHAnsi"/>
          <w:sz w:val="22"/>
          <w:szCs w:val="22"/>
        </w:rPr>
      </w:pPr>
    </w:p>
    <w:p w:rsidR="00215DFB" w:rsidP="006D61C9" w:rsidRDefault="00215DFB" w14:paraId="3F5388AA" w14:textId="77777777">
      <w:pPr>
        <w:tabs>
          <w:tab w:val="left" w:pos="3240"/>
        </w:tabs>
        <w:rPr>
          <w:rFonts w:asciiTheme="majorHAnsi" w:hAnsiTheme="majorHAnsi"/>
          <w:sz w:val="22"/>
          <w:szCs w:val="22"/>
        </w:rPr>
      </w:pPr>
    </w:p>
    <w:p w:rsidR="00215DFB" w:rsidP="006D61C9" w:rsidRDefault="00215DFB" w14:paraId="02AEB8AE" w14:textId="77777777">
      <w:pPr>
        <w:tabs>
          <w:tab w:val="left" w:pos="3240"/>
        </w:tabs>
        <w:rPr>
          <w:rFonts w:asciiTheme="majorHAnsi" w:hAnsiTheme="majorHAnsi"/>
          <w:sz w:val="22"/>
          <w:szCs w:val="22"/>
        </w:rPr>
      </w:pPr>
    </w:p>
    <w:p w:rsidR="00215DFB" w:rsidP="006D61C9" w:rsidRDefault="00215DFB" w14:paraId="03EF934D" w14:textId="77777777">
      <w:pPr>
        <w:tabs>
          <w:tab w:val="left" w:pos="3240"/>
        </w:tabs>
        <w:rPr>
          <w:rFonts w:asciiTheme="majorHAnsi" w:hAnsiTheme="majorHAnsi"/>
          <w:sz w:val="22"/>
          <w:szCs w:val="22"/>
        </w:rPr>
      </w:pPr>
    </w:p>
    <w:p w:rsidR="00215DFB" w:rsidP="006D61C9" w:rsidRDefault="00215DFB" w14:paraId="18F2AB46" w14:textId="77777777">
      <w:pPr>
        <w:tabs>
          <w:tab w:val="left" w:pos="3240"/>
        </w:tabs>
        <w:rPr>
          <w:rFonts w:asciiTheme="majorHAnsi" w:hAnsiTheme="majorHAnsi"/>
          <w:sz w:val="22"/>
          <w:szCs w:val="22"/>
        </w:rPr>
      </w:pPr>
    </w:p>
    <w:p w:rsidR="00215DFB" w:rsidP="006D61C9" w:rsidRDefault="00215DFB" w14:paraId="30A14CAD" w14:textId="77777777">
      <w:pPr>
        <w:tabs>
          <w:tab w:val="left" w:pos="3240"/>
        </w:tabs>
        <w:rPr>
          <w:rFonts w:asciiTheme="majorHAnsi" w:hAnsiTheme="majorHAnsi"/>
          <w:sz w:val="22"/>
          <w:szCs w:val="22"/>
        </w:rPr>
      </w:pPr>
    </w:p>
    <w:p w:rsidR="00215DFB" w:rsidP="006D61C9" w:rsidRDefault="00215DFB" w14:paraId="3707528A" w14:textId="77777777">
      <w:pPr>
        <w:tabs>
          <w:tab w:val="left" w:pos="3240"/>
        </w:tabs>
        <w:rPr>
          <w:rFonts w:asciiTheme="majorHAnsi" w:hAnsiTheme="majorHAnsi"/>
          <w:sz w:val="22"/>
          <w:szCs w:val="22"/>
        </w:rPr>
      </w:pPr>
    </w:p>
    <w:p w:rsidR="00215DFB" w:rsidP="006D61C9" w:rsidRDefault="00215DFB" w14:paraId="2EF6577B" w14:textId="77777777">
      <w:pPr>
        <w:tabs>
          <w:tab w:val="left" w:pos="3240"/>
        </w:tabs>
        <w:rPr>
          <w:rFonts w:asciiTheme="majorHAnsi" w:hAnsiTheme="majorHAnsi"/>
          <w:sz w:val="22"/>
          <w:szCs w:val="22"/>
        </w:rPr>
      </w:pPr>
    </w:p>
    <w:p w:rsidR="00215DFB" w:rsidP="006D61C9" w:rsidRDefault="00215DFB" w14:paraId="3B86D5A9" w14:textId="77777777">
      <w:pPr>
        <w:tabs>
          <w:tab w:val="left" w:pos="3240"/>
        </w:tabs>
        <w:rPr>
          <w:rFonts w:asciiTheme="majorHAnsi" w:hAnsiTheme="majorHAnsi"/>
          <w:sz w:val="22"/>
          <w:szCs w:val="22"/>
        </w:rPr>
      </w:pPr>
    </w:p>
    <w:p w:rsidR="00215DFB" w:rsidP="006D61C9" w:rsidRDefault="004654AB" w14:paraId="3EBF9547" w14:textId="77777777">
      <w:pPr>
        <w:tabs>
          <w:tab w:val="left" w:pos="3240"/>
        </w:tabs>
        <w:rPr>
          <w:rFonts w:asciiTheme="majorHAnsi" w:hAnsiTheme="majorHAnsi"/>
          <w:sz w:val="22"/>
          <w:szCs w:val="22"/>
        </w:rPr>
      </w:pPr>
      <w:r w:rsidRPr="00215DFB">
        <w:rPr>
          <w:rFonts w:asciiTheme="majorHAnsi" w:hAnsiTheme="majorHAnsi"/>
          <w:noProof/>
          <w:sz w:val="22"/>
          <w:szCs w:val="22"/>
        </w:rPr>
        <mc:AlternateContent>
          <mc:Choice Requires="wps">
            <w:drawing>
              <wp:anchor distT="0" distB="0" distL="114300" distR="114300" simplePos="0" relativeHeight="251654656" behindDoc="0" locked="0" layoutInCell="1" allowOverlap="1" wp14:anchorId="221A67D2" wp14:editId="6BBB0AF5">
                <wp:simplePos x="0" y="0"/>
                <wp:positionH relativeFrom="column">
                  <wp:posOffset>-130810</wp:posOffset>
                </wp:positionH>
                <wp:positionV relativeFrom="paragraph">
                  <wp:posOffset>85199</wp:posOffset>
                </wp:positionV>
                <wp:extent cx="4707255" cy="1104265"/>
                <wp:effectExtent l="0" t="0" r="0" b="635"/>
                <wp:wrapNone/>
                <wp:docPr id="3" name="Text Box 3"/>
                <wp:cNvGraphicFramePr/>
                <a:graphic xmlns:a="http://schemas.openxmlformats.org/drawingml/2006/main">
                  <a:graphicData uri="http://schemas.microsoft.com/office/word/2010/wordprocessingShape">
                    <wps:wsp>
                      <wps:cNvSpPr txBox="1"/>
                      <wps:spPr>
                        <a:xfrm>
                          <a:off x="0" y="0"/>
                          <a:ext cx="4707255" cy="1104265"/>
                        </a:xfrm>
                        <a:prstGeom prst="rect">
                          <a:avLst/>
                        </a:prstGeom>
                        <a:solidFill>
                          <a:schemeClr val="lt1"/>
                        </a:solidFill>
                        <a:ln w="6350">
                          <a:noFill/>
                        </a:ln>
                      </wps:spPr>
                      <wps:txbx>
                        <w:txbxContent>
                          <w:p w:rsidRPr="0093372C" w:rsidR="00852C16" w:rsidP="00771EA4" w:rsidRDefault="00351F7E" w14:paraId="1E40D7F2" w14:textId="4949C9BF">
                            <w:pPr>
                              <w:pStyle w:val="Heading1"/>
                            </w:pPr>
                            <w:r>
                              <w:t xml:space="preserve">Gender Pay Gap Report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1A67D2">
                <v:stroke joinstyle="miter"/>
                <v:path gradientshapeok="t" o:connecttype="rect"/>
              </v:shapetype>
              <v:shape id="Text Box 3" style="position:absolute;margin-left:-10.3pt;margin-top:6.7pt;width:370.65pt;height:86.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4dzLgIAAFUEAAAOAAAAZHJzL2Uyb0RvYy54bWysVE2P2yAQvVfqf0DcG9tpkm2tOKs0q1SV&#10;ot2VstWeCYbYEmYokNjpr++AnY9ue6p6wTPM8Jh58/D8vmsUOQrratAFzUYpJUJzKGu9L+j3l/WH&#10;T5Q4z3TJFGhR0JNw9H7x/t28NbkYQwWqFJYgiHZ5awpaeW/yJHG8Eg1zIzBCY1CCbZhH1+6T0rIW&#10;0RuVjNN0lrRgS2OBC+dw96EP0kXEl1Jw/ySlE56ogmJtPq42rruwJos5y/eWmarmQxnsH6poWK3x&#10;0gvUA/OMHGz9B1RTcwsOpB9xaBKQsuYi9oDdZOmbbrYVMyL2guQ4c6HJ/T9Y/njcmmdLfPcFOhxg&#10;IKQ1Lne4GfrppG3CFyslGEcKTxfaROcJx83JXXo3nk4p4RjLsnQynk0DTnI9bqzzXwU0JBgFtTiX&#10;SBc7bpzvU88p4TYHqi7XtVLRCVoQK2XJkeEUlY9FIvhvWUqTtqCzj9M0AmsIx3tkpbGWa1PB8t2u&#10;GzrdQXlCAiz02nCGr2sscsOcf2YWxYA9o8D9Ey5SAV4Cg0VJBfbn3/ZDPs4Io5S0KK6Cuh8HZgUl&#10;6pvG6X3OJpOgxuhMpndjdOxtZHcb0YdmBdh5hk/J8GiGfK/OprTQvOI7WIZbMcQ0x7sL6s/myveS&#10;x3fExXIZk1B/hvmN3hoeoAPTYQQv3SuzZpiTxxE/wlmGLH8zrj43nNSwPHiQdZxlILhndeAdtRvV&#10;MLyz8Dhu/Zh1/RssfgEAAP//AwBQSwMEFAAGAAgAAAAhADxfttHhAAAACgEAAA8AAABkcnMvZG93&#10;bnJldi54bWxMj01Pg0AQhu8m/ofNmHgx7SJoaZClMcaPpDeLrfG2ZUcgsrOE3QL+e8eTHmfeJ+88&#10;k29m24kRB986UnC9jEAgVc60VCt4K58WaxA+aDK6c4QKvtHDpjg/y3Vm3ESvOO5CLbiEfKYVNCH0&#10;mZS+atBqv3Q9EmefbrA68DjU0gx64nLbyTiKVtLqlvhCo3t8aLD62p2sgo+r+n3r5+f9lNwm/ePL&#10;WKYHUyp1eTHf34EIOIc/GH71WR0Kdjq6ExkvOgWLOFoxykFyA4KBNI5SEEderNMEZJHL/y8UPwAA&#10;AP//AwBQSwECLQAUAAYACAAAACEAtoM4kv4AAADhAQAAEwAAAAAAAAAAAAAAAAAAAAAAW0NvbnRl&#10;bnRfVHlwZXNdLnhtbFBLAQItABQABgAIAAAAIQA4/SH/1gAAAJQBAAALAAAAAAAAAAAAAAAAAC8B&#10;AABfcmVscy8ucmVsc1BLAQItABQABgAIAAAAIQDYv4dzLgIAAFUEAAAOAAAAAAAAAAAAAAAAAC4C&#10;AABkcnMvZTJvRG9jLnhtbFBLAQItABQABgAIAAAAIQA8X7bR4QAAAAoBAAAPAAAAAAAAAAAAAAAA&#10;AIgEAABkcnMvZG93bnJldi54bWxQSwUGAAAAAAQABADzAAAAlgUAAAAA&#10;">
                <v:textbox>
                  <w:txbxContent>
                    <w:p w:rsidRPr="0093372C" w:rsidR="00852C16" w:rsidP="00771EA4" w:rsidRDefault="00351F7E" w14:paraId="1E40D7F2" w14:textId="4949C9BF">
                      <w:pPr>
                        <w:pStyle w:val="Heading1"/>
                      </w:pPr>
                      <w:r>
                        <w:t xml:space="preserve">Gender Pay Gap Report </w:t>
                      </w:r>
                    </w:p>
                  </w:txbxContent>
                </v:textbox>
              </v:shape>
            </w:pict>
          </mc:Fallback>
        </mc:AlternateContent>
      </w:r>
    </w:p>
    <w:p w:rsidR="00215DFB" w:rsidP="006D61C9" w:rsidRDefault="00215DFB" w14:paraId="56CE9950" w14:textId="77777777">
      <w:pPr>
        <w:tabs>
          <w:tab w:val="left" w:pos="3240"/>
        </w:tabs>
        <w:rPr>
          <w:rFonts w:asciiTheme="majorHAnsi" w:hAnsiTheme="majorHAnsi"/>
          <w:sz w:val="22"/>
          <w:szCs w:val="22"/>
        </w:rPr>
      </w:pPr>
    </w:p>
    <w:p w:rsidR="00215DFB" w:rsidP="006D61C9" w:rsidRDefault="00215DFB" w14:paraId="4EDC67B4" w14:textId="77777777">
      <w:pPr>
        <w:tabs>
          <w:tab w:val="left" w:pos="3240"/>
        </w:tabs>
        <w:rPr>
          <w:rFonts w:asciiTheme="majorHAnsi" w:hAnsiTheme="majorHAnsi"/>
          <w:sz w:val="22"/>
          <w:szCs w:val="22"/>
        </w:rPr>
      </w:pPr>
    </w:p>
    <w:p w:rsidR="00215DFB" w:rsidP="006D61C9" w:rsidRDefault="00215DFB" w14:paraId="788355D4" w14:textId="77777777">
      <w:pPr>
        <w:tabs>
          <w:tab w:val="left" w:pos="3240"/>
        </w:tabs>
        <w:rPr>
          <w:rFonts w:asciiTheme="majorHAnsi" w:hAnsiTheme="majorHAnsi"/>
          <w:sz w:val="22"/>
          <w:szCs w:val="22"/>
        </w:rPr>
      </w:pPr>
    </w:p>
    <w:p w:rsidR="00215DFB" w:rsidP="006D61C9" w:rsidRDefault="00215DFB" w14:paraId="6180A65E" w14:textId="77777777">
      <w:pPr>
        <w:tabs>
          <w:tab w:val="left" w:pos="3240"/>
        </w:tabs>
        <w:rPr>
          <w:rFonts w:asciiTheme="majorHAnsi" w:hAnsiTheme="majorHAnsi"/>
          <w:sz w:val="22"/>
          <w:szCs w:val="22"/>
        </w:rPr>
      </w:pPr>
    </w:p>
    <w:p w:rsidR="00215DFB" w:rsidP="006D61C9" w:rsidRDefault="00215DFB" w14:paraId="1F7B43D6" w14:textId="77777777">
      <w:pPr>
        <w:tabs>
          <w:tab w:val="left" w:pos="3240"/>
        </w:tabs>
        <w:rPr>
          <w:rFonts w:asciiTheme="majorHAnsi" w:hAnsiTheme="majorHAnsi"/>
          <w:sz w:val="22"/>
          <w:szCs w:val="22"/>
        </w:rPr>
      </w:pPr>
    </w:p>
    <w:p w:rsidR="00215DFB" w:rsidP="006D61C9" w:rsidRDefault="00215DFB" w14:paraId="56E61A7E" w14:textId="77777777">
      <w:pPr>
        <w:tabs>
          <w:tab w:val="left" w:pos="3240"/>
        </w:tabs>
        <w:rPr>
          <w:rFonts w:asciiTheme="majorHAnsi" w:hAnsiTheme="majorHAnsi"/>
          <w:sz w:val="22"/>
          <w:szCs w:val="22"/>
        </w:rPr>
      </w:pPr>
    </w:p>
    <w:p w:rsidR="00215DFB" w:rsidP="006D61C9" w:rsidRDefault="004654AB" w14:paraId="549344FD" w14:textId="77777777">
      <w:pPr>
        <w:tabs>
          <w:tab w:val="left" w:pos="3240"/>
        </w:tabs>
        <w:rPr>
          <w:rFonts w:asciiTheme="majorHAnsi" w:hAnsiTheme="majorHAnsi"/>
          <w:sz w:val="22"/>
          <w:szCs w:val="22"/>
        </w:rPr>
      </w:pPr>
      <w:r w:rsidRPr="00215DFB">
        <w:rPr>
          <w:rFonts w:asciiTheme="majorHAnsi" w:hAnsiTheme="majorHAnsi"/>
          <w:noProof/>
          <w:sz w:val="22"/>
          <w:szCs w:val="22"/>
        </w:rPr>
        <mc:AlternateContent>
          <mc:Choice Requires="wps">
            <w:drawing>
              <wp:anchor distT="0" distB="0" distL="114300" distR="114300" simplePos="0" relativeHeight="251666944" behindDoc="0" locked="0" layoutInCell="1" allowOverlap="1" wp14:anchorId="27D63DEF" wp14:editId="7BED81A4">
                <wp:simplePos x="0" y="0"/>
                <wp:positionH relativeFrom="column">
                  <wp:posOffset>-121920</wp:posOffset>
                </wp:positionH>
                <wp:positionV relativeFrom="paragraph">
                  <wp:posOffset>231140</wp:posOffset>
                </wp:positionV>
                <wp:extent cx="4707255" cy="14986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4707255" cy="1498600"/>
                        </a:xfrm>
                        <a:prstGeom prst="rect">
                          <a:avLst/>
                        </a:prstGeom>
                        <a:solidFill>
                          <a:schemeClr val="lt1"/>
                        </a:solidFill>
                        <a:ln w="6350">
                          <a:noFill/>
                        </a:ln>
                      </wps:spPr>
                      <wps:txbx>
                        <w:txbxContent>
                          <w:p w:rsidRPr="0063008B" w:rsidR="00852C16" w:rsidP="00771EA4" w:rsidRDefault="00351F7E" w14:paraId="493637DF" w14:textId="75FC0D24">
                            <w:pPr>
                              <w:pStyle w:val="Heading2"/>
                            </w:pPr>
                            <w:r>
                              <w:t>2025- 2026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9.6pt;margin-top:18.2pt;width:370.65pt;height:1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JaMAIAAFwEAAAOAAAAZHJzL2Uyb0RvYy54bWysVEtv2zAMvg/YfxB0X+xkebRGnCJLkWFA&#10;0BZIh54VWUoEyKImKbGzXz9KzmvdTsMuMilSfHwf6elDW2tyEM4rMCXt93JKhOFQKbMt6ffX5ac7&#10;SnxgpmIajCjpUXj6MPv4YdrYQgxgB7oSjmAQ44vGlnQXgi2yzPOdqJnvgRUGjRJczQKqbptVjjUY&#10;vdbZIM/HWQOusg648B5vHzsjnaX4UgoenqX0IhBdUqwtpNOlcxPPbDZlxdYxu1P8VAb7hypqpgwm&#10;vYR6ZIGRvVN/hKoVd+BBhh6HOgMpFRepB+ymn7/rZr1jVqReEBxvLzD5/xeWPx3W9sWR0H6BFgmM&#10;gDTWFx4vYz+tdHX8YqUE7Qjh8QKbaAPheDmc5JPBaEQJR1t/eH83zhOw2fW5dT58FVCTKJTUIS8J&#10;LnZY+YAp0fXsErN50KpaKq2TEmdBLLQjB4Ys6pCKxBe/eWlDmpKOP4/yFNhAfN5F1gYTXJuKUmg3&#10;LVHVTcMbqI6Ig4NuRLzlS4W1rpgPL8zhTGDrOOfhGQ+pAXPBSaJkB+7n3+6jP1KFVkoanLGS+h97&#10;5gQl+ptBEu/7w2EcyqQMR5MBKu7Wsrm1mH29AASgjxtleRKjf9BnUTqo33Ad5jErmpjhmLuk4Swu&#10;Qjf5uE5czOfJCcfQsrAya8tj6Ah4ZOK1fWPOnugKyPQTnKeRFe9Y63zjSwPzfQCpEqUR5w7VE/w4&#10;wonp07rFHbnVk9f1pzD7BQAA//8DAFBLAwQUAAYACAAAACEALnDRIuIAAAAKAQAADwAAAGRycy9k&#10;b3ducmV2LnhtbEyPwU7DMBBE70j8g7VIXFDrxCkNhGwqhIBK3NoUEDc3XpKI2I5iNwl/jznBcTVP&#10;M2/zzaw7NtLgWmsQ4mUEjExlVWtqhEP5tLgB5rw0SnbWEMI3OdgU52e5zJSdzI7Gva9ZKDEukwiN&#10;933Guasa0tItbU8mZJ920NKHc6i5GuQUynXHRRStuZatCQuN7Omhoeprf9IIH1f1+4ubn1+n5Drp&#10;H7djmb6pEvHyYr6/A+Zp9n8w/OoHdSiC09GejHKsQ1jEtyKgCMl6BSwAqRAxsCOCSMUKeJHz/y8U&#10;PwAAAP//AwBQSwECLQAUAAYACAAAACEAtoM4kv4AAADhAQAAEwAAAAAAAAAAAAAAAAAAAAAAW0Nv&#10;bnRlbnRfVHlwZXNdLnhtbFBLAQItABQABgAIAAAAIQA4/SH/1gAAAJQBAAALAAAAAAAAAAAAAAAA&#10;AC8BAABfcmVscy8ucmVsc1BLAQItABQABgAIAAAAIQBgvMJaMAIAAFwEAAAOAAAAAAAAAAAAAAAA&#10;AC4CAABkcnMvZTJvRG9jLnhtbFBLAQItABQABgAIAAAAIQAucNEi4gAAAAoBAAAPAAAAAAAAAAAA&#10;AAAAAIoEAABkcnMvZG93bnJldi54bWxQSwUGAAAAAAQABADzAAAAmQUAAAAA&#10;" w14:anchorId="27D63DEF">
                <v:textbox>
                  <w:txbxContent>
                    <w:p w:rsidRPr="0063008B" w:rsidR="00852C16" w:rsidP="00771EA4" w:rsidRDefault="00351F7E" w14:paraId="493637DF" w14:textId="75FC0D24">
                      <w:pPr>
                        <w:pStyle w:val="Heading2"/>
                      </w:pPr>
                      <w:r>
                        <w:t>2025- 2026</w:t>
                      </w:r>
                    </w:p>
                  </w:txbxContent>
                </v:textbox>
              </v:shape>
            </w:pict>
          </mc:Fallback>
        </mc:AlternateContent>
      </w:r>
    </w:p>
    <w:p w:rsidR="00215DFB" w:rsidP="006D61C9" w:rsidRDefault="00215DFB" w14:paraId="30CA895C" w14:textId="77777777">
      <w:pPr>
        <w:tabs>
          <w:tab w:val="left" w:pos="3240"/>
        </w:tabs>
        <w:rPr>
          <w:rFonts w:asciiTheme="majorHAnsi" w:hAnsiTheme="majorHAnsi"/>
          <w:sz w:val="22"/>
          <w:szCs w:val="22"/>
        </w:rPr>
      </w:pPr>
    </w:p>
    <w:p w:rsidR="00215DFB" w:rsidP="006D61C9" w:rsidRDefault="00215DFB" w14:paraId="65045407" w14:textId="77777777">
      <w:pPr>
        <w:tabs>
          <w:tab w:val="left" w:pos="3240"/>
        </w:tabs>
        <w:rPr>
          <w:rFonts w:asciiTheme="majorHAnsi" w:hAnsiTheme="majorHAnsi"/>
          <w:sz w:val="22"/>
          <w:szCs w:val="22"/>
        </w:rPr>
      </w:pPr>
    </w:p>
    <w:p w:rsidR="00215DFB" w:rsidP="006D61C9" w:rsidRDefault="00215DFB" w14:paraId="721886ED" w14:textId="77777777">
      <w:pPr>
        <w:tabs>
          <w:tab w:val="left" w:pos="3240"/>
        </w:tabs>
        <w:rPr>
          <w:rFonts w:asciiTheme="majorHAnsi" w:hAnsiTheme="majorHAnsi"/>
          <w:sz w:val="22"/>
          <w:szCs w:val="22"/>
        </w:rPr>
      </w:pPr>
    </w:p>
    <w:p w:rsidR="00215DFB" w:rsidP="006D61C9" w:rsidRDefault="00215DFB" w14:paraId="31FD3200" w14:textId="77777777">
      <w:pPr>
        <w:tabs>
          <w:tab w:val="left" w:pos="3240"/>
        </w:tabs>
        <w:rPr>
          <w:rFonts w:asciiTheme="majorHAnsi" w:hAnsiTheme="majorHAnsi"/>
          <w:sz w:val="22"/>
          <w:szCs w:val="22"/>
        </w:rPr>
      </w:pPr>
    </w:p>
    <w:p w:rsidR="00215DFB" w:rsidP="006D61C9" w:rsidRDefault="00215DFB" w14:paraId="5974063C" w14:textId="77777777">
      <w:pPr>
        <w:tabs>
          <w:tab w:val="left" w:pos="3240"/>
        </w:tabs>
        <w:rPr>
          <w:rFonts w:asciiTheme="majorHAnsi" w:hAnsiTheme="majorHAnsi"/>
          <w:sz w:val="22"/>
          <w:szCs w:val="22"/>
        </w:rPr>
      </w:pPr>
    </w:p>
    <w:p w:rsidR="00215DFB" w:rsidP="006D61C9" w:rsidRDefault="00215DFB" w14:paraId="53201CA3" w14:textId="77777777">
      <w:pPr>
        <w:tabs>
          <w:tab w:val="left" w:pos="3240"/>
        </w:tabs>
        <w:rPr>
          <w:rFonts w:asciiTheme="majorHAnsi" w:hAnsiTheme="majorHAnsi"/>
          <w:sz w:val="22"/>
          <w:szCs w:val="22"/>
        </w:rPr>
      </w:pPr>
    </w:p>
    <w:p w:rsidR="00215DFB" w:rsidP="006D61C9" w:rsidRDefault="00215DFB" w14:paraId="11F78830" w14:textId="77777777">
      <w:pPr>
        <w:tabs>
          <w:tab w:val="left" w:pos="3240"/>
        </w:tabs>
        <w:rPr>
          <w:rFonts w:asciiTheme="majorHAnsi" w:hAnsiTheme="majorHAnsi"/>
          <w:sz w:val="22"/>
          <w:szCs w:val="22"/>
        </w:rPr>
      </w:pPr>
    </w:p>
    <w:p w:rsidR="00215DFB" w:rsidP="006D61C9" w:rsidRDefault="00215DFB" w14:paraId="60304D49" w14:textId="77777777">
      <w:pPr>
        <w:tabs>
          <w:tab w:val="left" w:pos="3240"/>
        </w:tabs>
        <w:rPr>
          <w:rFonts w:asciiTheme="majorHAnsi" w:hAnsiTheme="majorHAnsi"/>
          <w:sz w:val="22"/>
          <w:szCs w:val="22"/>
        </w:rPr>
      </w:pPr>
    </w:p>
    <w:p w:rsidR="00215DFB" w:rsidP="006D61C9" w:rsidRDefault="00215DFB" w14:paraId="3811DE09" w14:textId="77777777">
      <w:pPr>
        <w:tabs>
          <w:tab w:val="left" w:pos="3240"/>
        </w:tabs>
        <w:rPr>
          <w:rFonts w:asciiTheme="majorHAnsi" w:hAnsiTheme="majorHAnsi"/>
          <w:sz w:val="22"/>
          <w:szCs w:val="22"/>
        </w:rPr>
      </w:pPr>
    </w:p>
    <w:p w:rsidR="00215DFB" w:rsidP="006D61C9" w:rsidRDefault="00215DFB" w14:paraId="207FC40E" w14:textId="77777777">
      <w:pPr>
        <w:tabs>
          <w:tab w:val="left" w:pos="3240"/>
        </w:tabs>
        <w:rPr>
          <w:rFonts w:asciiTheme="majorHAnsi" w:hAnsiTheme="majorHAnsi"/>
          <w:sz w:val="22"/>
          <w:szCs w:val="22"/>
        </w:rPr>
      </w:pPr>
    </w:p>
    <w:p w:rsidR="00215DFB" w:rsidP="006D61C9" w:rsidRDefault="00215DFB" w14:paraId="60911D2F" w14:textId="77777777">
      <w:pPr>
        <w:tabs>
          <w:tab w:val="left" w:pos="3240"/>
        </w:tabs>
        <w:rPr>
          <w:rFonts w:asciiTheme="majorHAnsi" w:hAnsiTheme="majorHAnsi"/>
          <w:sz w:val="22"/>
          <w:szCs w:val="22"/>
        </w:rPr>
      </w:pPr>
    </w:p>
    <w:p w:rsidR="00215DFB" w:rsidP="006D61C9" w:rsidRDefault="00215DFB" w14:paraId="3A197495" w14:textId="77777777">
      <w:pPr>
        <w:tabs>
          <w:tab w:val="left" w:pos="3240"/>
        </w:tabs>
        <w:rPr>
          <w:rFonts w:asciiTheme="majorHAnsi" w:hAnsiTheme="majorHAnsi"/>
          <w:sz w:val="22"/>
          <w:szCs w:val="22"/>
        </w:rPr>
      </w:pPr>
    </w:p>
    <w:p w:rsidR="00215DFB" w:rsidP="006D61C9" w:rsidRDefault="00215DFB" w14:paraId="7D9A502B" w14:textId="77777777">
      <w:pPr>
        <w:tabs>
          <w:tab w:val="left" w:pos="3240"/>
        </w:tabs>
        <w:rPr>
          <w:rFonts w:asciiTheme="majorHAnsi" w:hAnsiTheme="majorHAnsi"/>
          <w:sz w:val="22"/>
          <w:szCs w:val="22"/>
        </w:rPr>
      </w:pPr>
    </w:p>
    <w:p w:rsidR="00215DFB" w:rsidP="006D61C9" w:rsidRDefault="00215DFB" w14:paraId="24026BDF" w14:textId="77777777">
      <w:pPr>
        <w:tabs>
          <w:tab w:val="left" w:pos="3240"/>
        </w:tabs>
        <w:rPr>
          <w:rFonts w:asciiTheme="majorHAnsi" w:hAnsiTheme="majorHAnsi"/>
          <w:sz w:val="22"/>
          <w:szCs w:val="22"/>
        </w:rPr>
      </w:pPr>
    </w:p>
    <w:p w:rsidR="00215DFB" w:rsidP="006D61C9" w:rsidRDefault="00215DFB" w14:paraId="0BF1135F" w14:textId="77777777">
      <w:pPr>
        <w:tabs>
          <w:tab w:val="left" w:pos="3240"/>
        </w:tabs>
        <w:rPr>
          <w:rFonts w:asciiTheme="majorHAnsi" w:hAnsiTheme="majorHAnsi"/>
          <w:sz w:val="22"/>
          <w:szCs w:val="22"/>
        </w:rPr>
      </w:pPr>
    </w:p>
    <w:p w:rsidR="00215DFB" w:rsidP="006D61C9" w:rsidRDefault="00215DFB" w14:paraId="3A80D052" w14:textId="77777777">
      <w:pPr>
        <w:tabs>
          <w:tab w:val="left" w:pos="3240"/>
        </w:tabs>
        <w:rPr>
          <w:rFonts w:asciiTheme="majorHAnsi" w:hAnsiTheme="majorHAnsi"/>
          <w:sz w:val="22"/>
          <w:szCs w:val="22"/>
        </w:rPr>
      </w:pPr>
    </w:p>
    <w:p w:rsidR="00215DFB" w:rsidP="006D61C9" w:rsidRDefault="00215DFB" w14:paraId="7AC4A517" w14:textId="77777777">
      <w:pPr>
        <w:tabs>
          <w:tab w:val="left" w:pos="3240"/>
        </w:tabs>
        <w:rPr>
          <w:rFonts w:asciiTheme="majorHAnsi" w:hAnsiTheme="majorHAnsi"/>
          <w:sz w:val="22"/>
          <w:szCs w:val="22"/>
        </w:rPr>
      </w:pPr>
    </w:p>
    <w:p w:rsidR="00215DFB" w:rsidP="006D61C9" w:rsidRDefault="00215DFB" w14:paraId="64FE523F" w14:textId="77777777">
      <w:pPr>
        <w:tabs>
          <w:tab w:val="left" w:pos="3240"/>
        </w:tabs>
        <w:rPr>
          <w:rFonts w:asciiTheme="majorHAnsi" w:hAnsiTheme="majorHAnsi"/>
          <w:sz w:val="22"/>
          <w:szCs w:val="22"/>
        </w:rPr>
      </w:pPr>
    </w:p>
    <w:p w:rsidR="00215DFB" w:rsidP="006D61C9" w:rsidRDefault="00215DFB" w14:paraId="0BA63480" w14:textId="77777777">
      <w:pPr>
        <w:tabs>
          <w:tab w:val="left" w:pos="3240"/>
        </w:tabs>
        <w:rPr>
          <w:rFonts w:asciiTheme="majorHAnsi" w:hAnsiTheme="majorHAnsi"/>
          <w:sz w:val="22"/>
          <w:szCs w:val="22"/>
        </w:rPr>
      </w:pPr>
    </w:p>
    <w:p w:rsidR="00215DFB" w:rsidP="006D61C9" w:rsidRDefault="00215DFB" w14:paraId="0238BE69" w14:textId="77777777">
      <w:pPr>
        <w:tabs>
          <w:tab w:val="left" w:pos="3240"/>
        </w:tabs>
        <w:rPr>
          <w:rFonts w:asciiTheme="majorHAnsi" w:hAnsiTheme="majorHAnsi"/>
          <w:sz w:val="22"/>
          <w:szCs w:val="22"/>
        </w:rPr>
      </w:pPr>
    </w:p>
    <w:p w:rsidR="00215DFB" w:rsidP="006D61C9" w:rsidRDefault="00215DFB" w14:paraId="55ED868E" w14:textId="77777777">
      <w:pPr>
        <w:tabs>
          <w:tab w:val="left" w:pos="3240"/>
        </w:tabs>
        <w:rPr>
          <w:rFonts w:asciiTheme="majorHAnsi" w:hAnsiTheme="majorHAnsi"/>
          <w:sz w:val="22"/>
          <w:szCs w:val="22"/>
        </w:rPr>
      </w:pPr>
    </w:p>
    <w:p w:rsidR="00BA77E8" w:rsidP="00771EA4" w:rsidRDefault="00BA77E8" w14:paraId="144FC936" w14:textId="77777777">
      <w:pPr>
        <w:pStyle w:val="Heading1"/>
      </w:pPr>
    </w:p>
    <w:p w:rsidR="008C7E1C" w:rsidRDefault="008C7E1C" w14:paraId="53E6DC01" w14:textId="77777777">
      <w:r>
        <w:br w:type="page"/>
      </w:r>
    </w:p>
    <w:p w:rsidR="008C4E68" w:rsidP="008C7E1C" w:rsidRDefault="00447DB1" w14:paraId="5A9305D4" w14:textId="3FF8049A">
      <w:pPr>
        <w:pStyle w:val="Heading1"/>
      </w:pPr>
      <w:r>
        <w:lastRenderedPageBreak/>
        <w:t>G</w:t>
      </w:r>
      <w:r w:rsidR="00856BC6">
        <w:t>ender Pay Gap Report: Snapshot 31 March 2026</w:t>
      </w:r>
    </w:p>
    <w:p w:rsidR="00856BC6" w:rsidP="00856BC6" w:rsidRDefault="00856BC6" w14:paraId="1F3A34FE" w14:textId="77777777"/>
    <w:p w:rsidR="00856BC6" w:rsidP="00856BC6" w:rsidRDefault="00856BC6" w14:paraId="51580341" w14:textId="77777777"/>
    <w:p w:rsidRPr="00771EA4" w:rsidR="00856BC6" w:rsidP="00856BC6" w:rsidRDefault="00856BC6" w14:paraId="502E10C5" w14:textId="5FFAA8AD">
      <w:pPr>
        <w:pStyle w:val="Heading2"/>
      </w:pPr>
      <w:r>
        <w:t>Introduction</w:t>
      </w:r>
    </w:p>
    <w:p w:rsidR="00856BC6" w:rsidP="00856BC6" w:rsidRDefault="00856BC6" w14:paraId="59AFAA6D" w14:textId="77777777">
      <w:pPr>
        <w:rPr>
          <w:rFonts w:ascii="Arial" w:hAnsi="Arial" w:cs="Arial"/>
        </w:rPr>
      </w:pPr>
    </w:p>
    <w:p w:rsidR="00856BC6" w:rsidP="00856BC6" w:rsidRDefault="00856BC6" w14:paraId="4388BC00" w14:textId="23E9D569">
      <w:pPr>
        <w:rPr>
          <w:rFonts w:ascii="Arial" w:hAnsi="Arial" w:cs="Arial"/>
        </w:rPr>
      </w:pPr>
      <w:r w:rsidRPr="00856BC6">
        <w:rPr>
          <w:rFonts w:ascii="Arial" w:hAnsi="Arial" w:cs="Arial"/>
        </w:rPr>
        <w:t xml:space="preserve">VoiceAbility believes in fostering an inclusive workplace which welcomes, values and celebrates the diversity of its staff, clients and stakeholders. It treats all on a basis of equality and encourages all to meet their maximum potential. VoiceAbility will do all it can to ensure people are recruited, trained and promoted according to their qualifications, experiences and abilities for all roles in the organisation. We also seek to provide the best opportunities for all our employees based on their abilities and potential, which includes paying employees for the role they perform, regardless of their gender.  </w:t>
      </w:r>
    </w:p>
    <w:p w:rsidR="0096347C" w:rsidP="00856BC6" w:rsidRDefault="0096347C" w14:paraId="735E9959" w14:textId="77777777">
      <w:pPr>
        <w:rPr>
          <w:rFonts w:ascii="Arial" w:hAnsi="Arial" w:cs="Arial"/>
        </w:rPr>
      </w:pPr>
    </w:p>
    <w:p w:rsidR="003D3381" w:rsidP="0096347C" w:rsidRDefault="00831E30" w14:paraId="04B43B94" w14:textId="77777777">
      <w:pPr>
        <w:rPr>
          <w:rFonts w:ascii="Arial" w:hAnsi="Arial" w:cs="Arial"/>
        </w:rPr>
      </w:pPr>
      <w:r>
        <w:rPr>
          <w:rFonts w:ascii="Arial" w:hAnsi="Arial" w:cs="Arial"/>
        </w:rPr>
        <w:t xml:space="preserve">Under the Equality Act 2010 </w:t>
      </w:r>
      <w:r w:rsidRPr="0096347C" w:rsidR="00042A9B">
        <w:rPr>
          <w:rFonts w:ascii="Arial" w:hAnsi="Arial" w:cs="Arial"/>
        </w:rPr>
        <w:t>(Gender Pay Gap Information) Regulations</w:t>
      </w:r>
      <w:r w:rsidR="00042A9B">
        <w:rPr>
          <w:rFonts w:ascii="Arial" w:hAnsi="Arial" w:cs="Arial"/>
        </w:rPr>
        <w:t xml:space="preserve"> </w:t>
      </w:r>
      <w:r>
        <w:rPr>
          <w:rFonts w:ascii="Arial" w:hAnsi="Arial" w:cs="Arial"/>
        </w:rPr>
        <w:t>we are required</w:t>
      </w:r>
      <w:r w:rsidRPr="0096347C" w:rsidR="0096347C">
        <w:rPr>
          <w:rFonts w:ascii="Arial" w:hAnsi="Arial" w:cs="Arial"/>
        </w:rPr>
        <w:t xml:space="preserve"> to produce a Gender Pay Gap report because it </w:t>
      </w:r>
      <w:r>
        <w:rPr>
          <w:rFonts w:ascii="Arial" w:hAnsi="Arial" w:cs="Arial"/>
        </w:rPr>
        <w:t xml:space="preserve">is a </w:t>
      </w:r>
      <w:r w:rsidRPr="0096347C" w:rsidR="0096347C">
        <w:rPr>
          <w:rFonts w:ascii="Arial" w:hAnsi="Arial" w:cs="Arial"/>
        </w:rPr>
        <w:t>mandatory</w:t>
      </w:r>
      <w:r>
        <w:rPr>
          <w:rFonts w:ascii="Arial" w:hAnsi="Arial" w:cs="Arial"/>
        </w:rPr>
        <w:t xml:space="preserve"> requirement</w:t>
      </w:r>
      <w:r w:rsidRPr="0096347C" w:rsidR="0096347C">
        <w:rPr>
          <w:rFonts w:ascii="Arial" w:hAnsi="Arial" w:cs="Arial"/>
        </w:rPr>
        <w:t xml:space="preserve"> for employers with 250 or more employees on the </w:t>
      </w:r>
      <w:r>
        <w:rPr>
          <w:rFonts w:ascii="Arial" w:hAnsi="Arial" w:cs="Arial"/>
        </w:rPr>
        <w:t>‘</w:t>
      </w:r>
      <w:r w:rsidRPr="0096347C" w:rsidR="0096347C">
        <w:rPr>
          <w:rFonts w:ascii="Arial" w:hAnsi="Arial" w:cs="Arial"/>
        </w:rPr>
        <w:t>snapshot date</w:t>
      </w:r>
      <w:r>
        <w:rPr>
          <w:rFonts w:ascii="Arial" w:hAnsi="Arial" w:cs="Arial"/>
        </w:rPr>
        <w:t xml:space="preserve">’ </w:t>
      </w:r>
      <w:r w:rsidRPr="0096347C" w:rsidR="0096347C">
        <w:rPr>
          <w:rFonts w:ascii="Arial" w:hAnsi="Arial" w:cs="Arial"/>
        </w:rPr>
        <w:t>to calculate and publish gender pay gap figures each year. This applies to organisations in England, Scotland and Wales</w:t>
      </w:r>
      <w:r w:rsidR="00042A9B">
        <w:rPr>
          <w:rFonts w:ascii="Arial" w:hAnsi="Arial" w:cs="Arial"/>
        </w:rPr>
        <w:t>.</w:t>
      </w:r>
      <w:r w:rsidR="003D3381">
        <w:rPr>
          <w:rFonts w:ascii="Arial" w:hAnsi="Arial" w:cs="Arial"/>
        </w:rPr>
        <w:t xml:space="preserve"> </w:t>
      </w:r>
    </w:p>
    <w:p w:rsidR="003D3381" w:rsidP="0096347C" w:rsidRDefault="003D3381" w14:paraId="6CA05084" w14:textId="77777777">
      <w:pPr>
        <w:rPr>
          <w:rFonts w:ascii="Arial" w:hAnsi="Arial" w:cs="Arial"/>
        </w:rPr>
      </w:pPr>
    </w:p>
    <w:p w:rsidR="0096347C" w:rsidP="0096347C" w:rsidRDefault="003D3381" w14:paraId="7F6F8D71" w14:textId="45F86305">
      <w:pPr>
        <w:rPr>
          <w:rFonts w:ascii="Arial" w:hAnsi="Arial" w:cs="Arial"/>
        </w:rPr>
      </w:pPr>
      <w:r>
        <w:rPr>
          <w:rFonts w:ascii="Arial" w:hAnsi="Arial" w:cs="Arial"/>
        </w:rPr>
        <w:t xml:space="preserve">Under these regulations we need to publish </w:t>
      </w:r>
    </w:p>
    <w:p w:rsidR="009A4202" w:rsidP="0096347C" w:rsidRDefault="009A4202" w14:paraId="08DDDC96" w14:textId="77777777">
      <w:pPr>
        <w:rPr>
          <w:rFonts w:ascii="Arial" w:hAnsi="Arial" w:cs="Arial"/>
        </w:rPr>
      </w:pPr>
    </w:p>
    <w:p w:rsidR="0041750D" w:rsidP="003D3381" w:rsidRDefault="0041750D" w14:paraId="2F52001E" w14:textId="3D92445A">
      <w:pPr>
        <w:pStyle w:val="ListParagraph"/>
        <w:numPr>
          <w:ilvl w:val="0"/>
          <w:numId w:val="3"/>
        </w:numPr>
      </w:pPr>
      <w:r>
        <w:t>Pay quartiles</w:t>
      </w:r>
    </w:p>
    <w:p w:rsidR="003D3381" w:rsidP="003D3381" w:rsidRDefault="009A4202" w14:paraId="2031827E" w14:textId="4B62FB5D">
      <w:pPr>
        <w:pStyle w:val="ListParagraph"/>
        <w:numPr>
          <w:ilvl w:val="0"/>
          <w:numId w:val="3"/>
        </w:numPr>
      </w:pPr>
      <w:r>
        <w:t xml:space="preserve">Mean pay gap between men and women </w:t>
      </w:r>
    </w:p>
    <w:p w:rsidR="009A4202" w:rsidP="003D3381" w:rsidRDefault="009A4202" w14:paraId="6BCB1257" w14:textId="21D1A3A0">
      <w:pPr>
        <w:pStyle w:val="ListParagraph"/>
        <w:numPr>
          <w:ilvl w:val="0"/>
          <w:numId w:val="3"/>
        </w:numPr>
      </w:pPr>
      <w:r>
        <w:t xml:space="preserve">Median pay gap between men and women </w:t>
      </w:r>
    </w:p>
    <w:p w:rsidRPr="003D3381" w:rsidR="0041750D" w:rsidP="003D3381" w:rsidRDefault="0041750D" w14:paraId="6ABBCFDF" w14:textId="6548FCB2">
      <w:pPr>
        <w:pStyle w:val="ListParagraph"/>
        <w:numPr>
          <w:ilvl w:val="0"/>
          <w:numId w:val="3"/>
        </w:numPr>
      </w:pPr>
      <w:r>
        <w:t xml:space="preserve">The same figures for </w:t>
      </w:r>
      <w:r w:rsidR="00E747D8">
        <w:t xml:space="preserve">bonuses </w:t>
      </w:r>
    </w:p>
    <w:p w:rsidRPr="00856BC6" w:rsidR="00D9196D" w:rsidP="00856BC6" w:rsidRDefault="00D9196D" w14:paraId="76CEBBF1" w14:textId="77777777">
      <w:pPr>
        <w:rPr>
          <w:rFonts w:ascii="Arial" w:hAnsi="Arial" w:cs="Arial"/>
        </w:rPr>
      </w:pPr>
    </w:p>
    <w:p w:rsidRPr="00856BC6" w:rsidR="0096347C" w:rsidP="0096347C" w:rsidRDefault="0096347C" w14:paraId="314BB5DF" w14:textId="24EC5349">
      <w:pPr>
        <w:rPr>
          <w:rFonts w:ascii="Arial" w:hAnsi="Arial" w:cs="Arial"/>
        </w:rPr>
      </w:pPr>
      <w:r w:rsidRPr="7E8C5443" w:rsidR="0096347C">
        <w:rPr>
          <w:rFonts w:ascii="Arial" w:hAnsi="Arial" w:cs="Arial"/>
        </w:rPr>
        <w:t>VoiceAbility</w:t>
      </w:r>
      <w:r w:rsidRPr="7E8C5443" w:rsidR="0096347C">
        <w:rPr>
          <w:rFonts w:ascii="Arial" w:hAnsi="Arial" w:cs="Arial"/>
        </w:rPr>
        <w:t xml:space="preserve"> is an independent national charity and one of the UK’s largest providers of advocacy and involvement services. We </w:t>
      </w:r>
      <w:r w:rsidRPr="7E8C5443" w:rsidR="00D83307">
        <w:rPr>
          <w:rFonts w:ascii="Arial" w:hAnsi="Arial" w:cs="Arial"/>
        </w:rPr>
        <w:t>have</w:t>
      </w:r>
      <w:r w:rsidRPr="7E8C5443" w:rsidR="0096347C">
        <w:rPr>
          <w:rFonts w:ascii="Arial" w:hAnsi="Arial" w:cs="Arial"/>
        </w:rPr>
        <w:t xml:space="preserve"> </w:t>
      </w:r>
      <w:r w:rsidRPr="7E8C5443" w:rsidR="0096347C">
        <w:rPr>
          <w:rFonts w:ascii="Arial" w:hAnsi="Arial" w:cs="Arial"/>
        </w:rPr>
        <w:t>over 400</w:t>
      </w:r>
      <w:r w:rsidRPr="7E8C5443" w:rsidR="0096347C">
        <w:rPr>
          <w:rFonts w:ascii="Arial" w:hAnsi="Arial" w:cs="Arial"/>
        </w:rPr>
        <w:t xml:space="preserve"> people throughout the UK</w:t>
      </w:r>
      <w:r w:rsidRPr="7E8C5443" w:rsidR="00D83307">
        <w:rPr>
          <w:rFonts w:ascii="Arial" w:hAnsi="Arial" w:cs="Arial"/>
        </w:rPr>
        <w:t xml:space="preserve"> working for us</w:t>
      </w:r>
      <w:r w:rsidRPr="7E8C5443" w:rsidR="0096347C">
        <w:rPr>
          <w:rFonts w:ascii="Arial" w:hAnsi="Arial" w:cs="Arial"/>
        </w:rPr>
        <w:t xml:space="preserve"> at the snapshot date, although </w:t>
      </w:r>
      <w:r w:rsidRPr="7E8C5443" w:rsidR="0096347C">
        <w:rPr>
          <w:rFonts w:ascii="Arial" w:hAnsi="Arial" w:cs="Arial"/>
        </w:rPr>
        <w:t xml:space="preserve">we </w:t>
      </w:r>
      <w:r w:rsidRPr="7E8C5443" w:rsidR="0096347C">
        <w:rPr>
          <w:rFonts w:ascii="Arial" w:hAnsi="Arial" w:cs="Arial"/>
        </w:rPr>
        <w:t>were required</w:t>
      </w:r>
      <w:r w:rsidRPr="7E8C5443" w:rsidR="0096347C">
        <w:rPr>
          <w:rFonts w:ascii="Arial" w:hAnsi="Arial" w:cs="Arial"/>
        </w:rPr>
        <w:t xml:space="preserve"> to report on 3</w:t>
      </w:r>
      <w:r w:rsidRPr="7E8C5443" w:rsidR="004F44D4">
        <w:rPr>
          <w:rFonts w:ascii="Arial" w:hAnsi="Arial" w:cs="Arial"/>
        </w:rPr>
        <w:t>89</w:t>
      </w:r>
      <w:r w:rsidRPr="7E8C5443" w:rsidR="0096347C">
        <w:rPr>
          <w:rFonts w:ascii="Arial" w:hAnsi="Arial" w:cs="Arial"/>
        </w:rPr>
        <w:t xml:space="preserve"> people during </w:t>
      </w:r>
      <w:r w:rsidRPr="7E8C5443" w:rsidR="0096347C">
        <w:rPr>
          <w:rFonts w:ascii="Arial" w:hAnsi="Arial" w:cs="Arial"/>
        </w:rPr>
        <w:t xml:space="preserve">this </w:t>
      </w:r>
      <w:r w:rsidRPr="7E8C5443" w:rsidR="0E40F61F">
        <w:rPr>
          <w:rFonts w:ascii="Arial" w:hAnsi="Arial" w:cs="Arial"/>
        </w:rPr>
        <w:t>year's</w:t>
      </w:r>
      <w:r w:rsidRPr="7E8C5443" w:rsidR="0096347C">
        <w:rPr>
          <w:rFonts w:ascii="Arial" w:hAnsi="Arial" w:cs="Arial"/>
        </w:rPr>
        <w:t xml:space="preserve"> snapshot </w:t>
      </w:r>
      <w:r w:rsidRPr="7E8C5443" w:rsidR="00D83307">
        <w:rPr>
          <w:rFonts w:ascii="Arial" w:hAnsi="Arial" w:cs="Arial"/>
        </w:rPr>
        <w:t>date</w:t>
      </w:r>
      <w:r w:rsidRPr="7E8C5443" w:rsidR="00BC0508">
        <w:rPr>
          <w:rFonts w:ascii="Arial" w:hAnsi="Arial" w:cs="Arial"/>
        </w:rPr>
        <w:t xml:space="preserve"> (based on </w:t>
      </w:r>
      <w:r w:rsidRPr="7E8C5443" w:rsidR="00F80340">
        <w:rPr>
          <w:rFonts w:ascii="Arial" w:hAnsi="Arial" w:cs="Arial"/>
        </w:rPr>
        <w:t>earnings criteria)</w:t>
      </w:r>
      <w:r w:rsidRPr="7E8C5443" w:rsidR="0096347C">
        <w:rPr>
          <w:rFonts w:ascii="Arial" w:hAnsi="Arial" w:cs="Arial"/>
        </w:rPr>
        <w:t>.</w:t>
      </w:r>
      <w:r w:rsidRPr="7E8C5443" w:rsidR="00D83307">
        <w:rPr>
          <w:rFonts w:ascii="Arial" w:hAnsi="Arial" w:cs="Arial"/>
        </w:rPr>
        <w:t xml:space="preserve"> </w:t>
      </w:r>
    </w:p>
    <w:p w:rsidR="00856BC6" w:rsidP="00856BC6" w:rsidRDefault="00856BC6" w14:paraId="0677E5CC" w14:textId="77777777"/>
    <w:p w:rsidR="00856BC6" w:rsidP="00856BC6" w:rsidRDefault="00856BC6" w14:paraId="55285174" w14:textId="77777777"/>
    <w:p w:rsidR="00856BC6" w:rsidP="00856BC6" w:rsidRDefault="00856BC6" w14:paraId="41AC85EC" w14:textId="77777777"/>
    <w:p w:rsidRPr="00856BC6" w:rsidR="00856BC6" w:rsidP="00856BC6" w:rsidRDefault="00856BC6" w14:paraId="647C27B1" w14:textId="77777777"/>
    <w:p w:rsidR="00200B88" w:rsidRDefault="00200B88" w14:paraId="3155F2E8" w14:textId="77777777">
      <w:pPr>
        <w:rPr>
          <w:rFonts w:ascii="Arial" w:hAnsi="Arial" w:eastAsia="Cambria" w:cs="Arial"/>
          <w:color w:val="4F2454"/>
          <w:sz w:val="32"/>
          <w:szCs w:val="32"/>
        </w:rPr>
      </w:pPr>
      <w:r>
        <w:br w:type="page"/>
      </w:r>
    </w:p>
    <w:p w:rsidR="008C4E68" w:rsidP="00771EA4" w:rsidRDefault="0013207E" w14:paraId="55536C55" w14:textId="515BA4E0">
      <w:pPr>
        <w:pStyle w:val="Heading2"/>
      </w:pPr>
      <w:r>
        <w:lastRenderedPageBreak/>
        <w:t>Gender pay gap between men and women</w:t>
      </w:r>
    </w:p>
    <w:p w:rsidRPr="00C15827" w:rsidR="006B3701" w:rsidP="006B3701" w:rsidRDefault="006B3701" w14:paraId="1DCA727E" w14:textId="77777777">
      <w:pPr>
        <w:rPr>
          <w:rFonts w:ascii="Arial" w:hAnsi="Arial" w:cs="Arial"/>
        </w:rPr>
      </w:pPr>
    </w:p>
    <w:p w:rsidRPr="00C15827" w:rsidR="00C15827" w:rsidP="00894BBD" w:rsidRDefault="006B3701" w14:paraId="5BD8C763" w14:textId="77777777">
      <w:pPr>
        <w:rPr>
          <w:rFonts w:ascii="Arial" w:hAnsi="Arial" w:cs="Arial"/>
        </w:rPr>
      </w:pPr>
      <w:r w:rsidRPr="00C15827">
        <w:rPr>
          <w:rFonts w:ascii="Arial" w:hAnsi="Arial" w:cs="Arial"/>
        </w:rPr>
        <w:t>These figures are based on hourly rates worked out on earnings over the ‘snapshot period’</w:t>
      </w:r>
      <w:r w:rsidRPr="00C15827" w:rsidR="00894BBD">
        <w:rPr>
          <w:rFonts w:ascii="Arial" w:hAnsi="Arial" w:cs="Arial"/>
        </w:rPr>
        <w:t>. The snapshot period is the specific date each year when we must take a “snapshot” of our colleague’s pay data for gender pay gap reporting. Everything in our report is based on who is employed on that exact date.</w:t>
      </w:r>
      <w:r w:rsidRPr="00C15827" w:rsidR="00F80340">
        <w:rPr>
          <w:rFonts w:ascii="Arial" w:hAnsi="Arial" w:cs="Arial"/>
        </w:rPr>
        <w:t xml:space="preserve"> </w:t>
      </w:r>
    </w:p>
    <w:p w:rsidRPr="00C15827" w:rsidR="00C15827" w:rsidP="00894BBD" w:rsidRDefault="00C15827" w14:paraId="36136BCE" w14:textId="77777777">
      <w:pPr>
        <w:rPr>
          <w:rFonts w:ascii="Arial" w:hAnsi="Arial" w:cs="Arial"/>
        </w:rPr>
      </w:pPr>
    </w:p>
    <w:p w:rsidR="00894BBD" w:rsidP="00894BBD" w:rsidRDefault="00C15827" w14:paraId="79C007D5" w14:textId="0602CFF7">
      <w:pPr>
        <w:rPr>
          <w:rFonts w:ascii="Arial" w:hAnsi="Arial" w:cs="Arial"/>
        </w:rPr>
      </w:pPr>
      <w:r w:rsidRPr="00C15827">
        <w:rPr>
          <w:rFonts w:ascii="Arial" w:hAnsi="Arial" w:cs="Arial"/>
        </w:rPr>
        <w:t xml:space="preserve">We do not pay ‘bonuses’ at </w:t>
      </w:r>
      <w:proofErr w:type="spellStart"/>
      <w:r w:rsidRPr="00C15827">
        <w:rPr>
          <w:rFonts w:ascii="Arial" w:hAnsi="Arial" w:cs="Arial"/>
        </w:rPr>
        <w:t>Voiceability</w:t>
      </w:r>
      <w:proofErr w:type="spellEnd"/>
      <w:r w:rsidRPr="00C15827">
        <w:rPr>
          <w:rFonts w:ascii="Arial" w:hAnsi="Arial" w:cs="Arial"/>
        </w:rPr>
        <w:t xml:space="preserve"> therefore there is no data to include in the report in these areas. </w:t>
      </w:r>
    </w:p>
    <w:p w:rsidR="00CD2A43" w:rsidP="00CD2A43" w:rsidRDefault="00CD2A43" w14:paraId="2DC4E036" w14:textId="77777777"/>
    <w:p w:rsidR="00CD2A43" w:rsidP="00CD2A43" w:rsidRDefault="00CD2A43" w14:paraId="76FDC0F7" w14:textId="77777777"/>
    <w:tbl>
      <w:tblPr>
        <w:tblStyle w:val="TableGrid"/>
        <w:tblW w:w="0" w:type="auto"/>
        <w:tblLook w:val="04A0" w:firstRow="1" w:lastRow="0" w:firstColumn="1" w:lastColumn="0" w:noHBand="0" w:noVBand="1"/>
      </w:tblPr>
      <w:tblGrid>
        <w:gridCol w:w="3397"/>
        <w:gridCol w:w="3206"/>
      </w:tblGrid>
      <w:tr w:rsidR="00601AFE" w:rsidTr="00051D6D" w14:paraId="0EEADB79" w14:textId="77777777">
        <w:tc>
          <w:tcPr>
            <w:tcW w:w="3397" w:type="dxa"/>
            <w:shd w:val="clear" w:color="auto" w:fill="54244F"/>
          </w:tcPr>
          <w:p w:rsidRPr="00472BF3" w:rsidR="00601AFE" w:rsidP="00CD2A43" w:rsidRDefault="00601AFE" w14:paraId="07EAA4FC" w14:textId="77777777">
            <w:pPr>
              <w:rPr>
                <w:rFonts w:ascii="Arial" w:hAnsi="Arial" w:cs="Arial"/>
                <w:b/>
                <w:bCs/>
              </w:rPr>
            </w:pPr>
            <w:r>
              <w:rPr>
                <w:rFonts w:ascii="Arial" w:hAnsi="Arial" w:cs="Arial"/>
                <w:b/>
                <w:bCs/>
              </w:rPr>
              <w:t xml:space="preserve">Totals </w:t>
            </w:r>
          </w:p>
        </w:tc>
        <w:tc>
          <w:tcPr>
            <w:tcW w:w="3206" w:type="dxa"/>
            <w:shd w:val="clear" w:color="auto" w:fill="54244F"/>
          </w:tcPr>
          <w:p w:rsidRPr="00472BF3" w:rsidR="00601AFE" w:rsidP="00CD2A43" w:rsidRDefault="00601AFE" w14:paraId="4FC80C39" w14:textId="77777777">
            <w:pPr>
              <w:rPr>
                <w:rFonts w:ascii="Arial" w:hAnsi="Arial" w:cs="Arial"/>
                <w:b/>
                <w:bCs/>
              </w:rPr>
            </w:pPr>
          </w:p>
        </w:tc>
      </w:tr>
      <w:tr w:rsidR="00601AFE" w:rsidTr="00051D6D" w14:paraId="73FCD721" w14:textId="77777777">
        <w:tc>
          <w:tcPr>
            <w:tcW w:w="3397" w:type="dxa"/>
          </w:tcPr>
          <w:p w:rsidRPr="00051D6D" w:rsidR="00601AFE" w:rsidP="00CD2A43" w:rsidRDefault="00601AFE" w14:paraId="62F26375" w14:textId="12BD1083">
            <w:pPr>
              <w:rPr>
                <w:rFonts w:ascii="Arial" w:hAnsi="Arial" w:cs="Arial"/>
                <w:b/>
                <w:bCs/>
              </w:rPr>
            </w:pPr>
            <w:r w:rsidRPr="00051D6D">
              <w:rPr>
                <w:rFonts w:ascii="Arial" w:hAnsi="Arial" w:cs="Arial"/>
                <w:b/>
                <w:bCs/>
              </w:rPr>
              <w:t>Total reportable colleagues</w:t>
            </w:r>
          </w:p>
        </w:tc>
        <w:tc>
          <w:tcPr>
            <w:tcW w:w="3206" w:type="dxa"/>
          </w:tcPr>
          <w:p w:rsidRPr="0060416A" w:rsidR="00601AFE" w:rsidP="00CD2A43" w:rsidRDefault="00601AFE" w14:paraId="07DE69AE" w14:textId="7B644CD7">
            <w:pPr>
              <w:rPr>
                <w:rFonts w:ascii="Arial" w:hAnsi="Arial" w:cs="Arial"/>
              </w:rPr>
            </w:pPr>
            <w:r w:rsidRPr="0060416A">
              <w:rPr>
                <w:rFonts w:ascii="Arial" w:hAnsi="Arial" w:cs="Arial"/>
              </w:rPr>
              <w:t>3</w:t>
            </w:r>
            <w:r w:rsidR="009A2E3E">
              <w:rPr>
                <w:rFonts w:ascii="Arial" w:hAnsi="Arial" w:cs="Arial"/>
              </w:rPr>
              <w:t>89</w:t>
            </w:r>
          </w:p>
        </w:tc>
      </w:tr>
      <w:tr w:rsidR="00601AFE" w:rsidTr="00051D6D" w14:paraId="65179D9A" w14:textId="77777777">
        <w:tc>
          <w:tcPr>
            <w:tcW w:w="3397" w:type="dxa"/>
          </w:tcPr>
          <w:p w:rsidRPr="00051D6D" w:rsidR="00601AFE" w:rsidP="00CD2A43" w:rsidRDefault="00601AFE" w14:paraId="45D60699" w14:textId="5BB7FA3B">
            <w:pPr>
              <w:rPr>
                <w:rFonts w:ascii="Arial" w:hAnsi="Arial" w:cs="Arial"/>
                <w:b/>
                <w:bCs/>
              </w:rPr>
            </w:pPr>
            <w:r w:rsidRPr="00051D6D">
              <w:rPr>
                <w:rFonts w:ascii="Arial" w:hAnsi="Arial" w:cs="Arial"/>
                <w:b/>
                <w:bCs/>
              </w:rPr>
              <w:t>Men</w:t>
            </w:r>
          </w:p>
        </w:tc>
        <w:tc>
          <w:tcPr>
            <w:tcW w:w="3206" w:type="dxa"/>
          </w:tcPr>
          <w:p w:rsidRPr="0060416A" w:rsidR="00601AFE" w:rsidP="00CD2A43" w:rsidRDefault="00C420CC" w14:paraId="3EC7EDEE" w14:textId="271F62A9">
            <w:pPr>
              <w:rPr>
                <w:rFonts w:ascii="Arial" w:hAnsi="Arial" w:cs="Arial"/>
              </w:rPr>
            </w:pPr>
            <w:r>
              <w:rPr>
                <w:rFonts w:ascii="Arial" w:hAnsi="Arial" w:cs="Arial"/>
              </w:rPr>
              <w:t>78</w:t>
            </w:r>
          </w:p>
        </w:tc>
      </w:tr>
      <w:tr w:rsidR="00601AFE" w:rsidTr="00051D6D" w14:paraId="41C2B059" w14:textId="77777777">
        <w:tc>
          <w:tcPr>
            <w:tcW w:w="3397" w:type="dxa"/>
          </w:tcPr>
          <w:p w:rsidRPr="00051D6D" w:rsidR="00601AFE" w:rsidP="00CD2A43" w:rsidRDefault="00601AFE" w14:paraId="5606126F" w14:textId="2B21E410">
            <w:pPr>
              <w:rPr>
                <w:rFonts w:ascii="Arial" w:hAnsi="Arial" w:cs="Arial"/>
                <w:b/>
                <w:bCs/>
              </w:rPr>
            </w:pPr>
            <w:r w:rsidRPr="00051D6D">
              <w:rPr>
                <w:rFonts w:ascii="Arial" w:hAnsi="Arial" w:cs="Arial"/>
                <w:b/>
                <w:bCs/>
              </w:rPr>
              <w:t>Women</w:t>
            </w:r>
          </w:p>
        </w:tc>
        <w:tc>
          <w:tcPr>
            <w:tcW w:w="3206" w:type="dxa"/>
          </w:tcPr>
          <w:p w:rsidRPr="0060416A" w:rsidR="00601AFE" w:rsidP="00CD2A43" w:rsidRDefault="00601AFE" w14:paraId="41FDFEF8" w14:textId="0797F5DA">
            <w:pPr>
              <w:rPr>
                <w:rFonts w:ascii="Arial" w:hAnsi="Arial" w:cs="Arial"/>
              </w:rPr>
            </w:pPr>
            <w:r w:rsidRPr="0060416A">
              <w:rPr>
                <w:rFonts w:ascii="Arial" w:hAnsi="Arial" w:cs="Arial"/>
              </w:rPr>
              <w:t>31</w:t>
            </w:r>
            <w:r w:rsidR="00C420CC">
              <w:rPr>
                <w:rFonts w:ascii="Arial" w:hAnsi="Arial" w:cs="Arial"/>
              </w:rPr>
              <w:t>1</w:t>
            </w:r>
          </w:p>
        </w:tc>
      </w:tr>
    </w:tbl>
    <w:p w:rsidR="00CD2A43" w:rsidP="00CD2A43" w:rsidRDefault="00CD2A43" w14:paraId="77DAF1AE" w14:textId="77777777"/>
    <w:p w:rsidR="00506097" w:rsidP="00CD2A43" w:rsidRDefault="00506097" w14:paraId="79EF2E49" w14:textId="77777777"/>
    <w:tbl>
      <w:tblPr>
        <w:tblStyle w:val="TableGrid"/>
        <w:tblW w:w="0" w:type="auto"/>
        <w:tblLook w:val="04A0" w:firstRow="1" w:lastRow="0" w:firstColumn="1" w:lastColumn="0" w:noHBand="0" w:noVBand="1"/>
      </w:tblPr>
      <w:tblGrid>
        <w:gridCol w:w="3301"/>
        <w:gridCol w:w="3302"/>
        <w:gridCol w:w="3302"/>
      </w:tblGrid>
      <w:tr w:rsidR="0060416A" w:rsidTr="00051D6D" w14:paraId="1B4BA430" w14:textId="77777777">
        <w:tc>
          <w:tcPr>
            <w:tcW w:w="3301" w:type="dxa"/>
            <w:shd w:val="clear" w:color="auto" w:fill="54244F"/>
          </w:tcPr>
          <w:p w:rsidRPr="00051D6D" w:rsidR="0060416A" w:rsidP="00CD2A43" w:rsidRDefault="00C420CC" w14:paraId="6CB93D0E" w14:textId="5FFEC215">
            <w:pPr>
              <w:rPr>
                <w:rFonts w:ascii="Arial" w:hAnsi="Arial" w:cs="Arial"/>
                <w:b/>
                <w:bCs/>
              </w:rPr>
            </w:pPr>
            <w:r>
              <w:rPr>
                <w:rFonts w:ascii="Arial" w:hAnsi="Arial" w:cs="Arial"/>
                <w:b/>
                <w:bCs/>
              </w:rPr>
              <w:t>Per</w:t>
            </w:r>
            <w:r w:rsidR="008D56B5">
              <w:rPr>
                <w:rFonts w:ascii="Arial" w:hAnsi="Arial" w:cs="Arial"/>
                <w:b/>
                <w:bCs/>
              </w:rPr>
              <w:t>centage Split</w:t>
            </w:r>
          </w:p>
        </w:tc>
        <w:tc>
          <w:tcPr>
            <w:tcW w:w="3302" w:type="dxa"/>
            <w:shd w:val="clear" w:color="auto" w:fill="54244F"/>
          </w:tcPr>
          <w:p w:rsidRPr="00051D6D" w:rsidR="0060416A" w:rsidP="00CD2A43" w:rsidRDefault="00EF6454" w14:paraId="19683926" w14:textId="2E22B9C5">
            <w:pPr>
              <w:rPr>
                <w:rFonts w:ascii="Arial" w:hAnsi="Arial" w:cs="Arial"/>
                <w:b/>
                <w:bCs/>
              </w:rPr>
            </w:pPr>
            <w:r w:rsidRPr="00051D6D">
              <w:rPr>
                <w:rFonts w:ascii="Arial" w:hAnsi="Arial" w:cs="Arial"/>
                <w:b/>
                <w:bCs/>
              </w:rPr>
              <w:t>% Men</w:t>
            </w:r>
          </w:p>
        </w:tc>
        <w:tc>
          <w:tcPr>
            <w:tcW w:w="3302" w:type="dxa"/>
            <w:shd w:val="clear" w:color="auto" w:fill="54244F"/>
          </w:tcPr>
          <w:p w:rsidRPr="00051D6D" w:rsidR="0060416A" w:rsidP="00CD2A43" w:rsidRDefault="00EF6454" w14:paraId="4E653268" w14:textId="1331CB17">
            <w:pPr>
              <w:rPr>
                <w:rFonts w:ascii="Arial" w:hAnsi="Arial" w:cs="Arial"/>
                <w:b/>
                <w:bCs/>
              </w:rPr>
            </w:pPr>
            <w:r w:rsidRPr="00051D6D">
              <w:rPr>
                <w:rFonts w:ascii="Arial" w:hAnsi="Arial" w:cs="Arial"/>
                <w:b/>
                <w:bCs/>
              </w:rPr>
              <w:t>% Women</w:t>
            </w:r>
          </w:p>
        </w:tc>
      </w:tr>
      <w:tr w:rsidR="00EF6454" w:rsidTr="0060416A" w14:paraId="76A61AE9" w14:textId="77777777">
        <w:tc>
          <w:tcPr>
            <w:tcW w:w="3301" w:type="dxa"/>
          </w:tcPr>
          <w:p w:rsidRPr="00051D6D" w:rsidR="00EF6454" w:rsidP="00EF6454" w:rsidRDefault="001D5750" w14:paraId="508ECB03" w14:textId="618061D9">
            <w:pPr>
              <w:rPr>
                <w:rFonts w:ascii="Arial" w:hAnsi="Arial" w:cs="Arial"/>
                <w:b/>
                <w:bCs/>
              </w:rPr>
            </w:pPr>
            <w:r>
              <w:rPr>
                <w:rFonts w:ascii="Arial" w:hAnsi="Arial" w:cs="Arial"/>
                <w:b/>
                <w:bCs/>
              </w:rPr>
              <w:t>Lower hourly pay quarter</w:t>
            </w:r>
          </w:p>
        </w:tc>
        <w:tc>
          <w:tcPr>
            <w:tcW w:w="3302" w:type="dxa"/>
          </w:tcPr>
          <w:p w:rsidRPr="008E4C90" w:rsidR="00EF6454" w:rsidP="00EF6454" w:rsidRDefault="00436F23" w14:paraId="110F0E8E" w14:textId="299257D8">
            <w:pPr>
              <w:rPr>
                <w:rFonts w:ascii="Arial" w:hAnsi="Arial" w:cs="Arial"/>
              </w:rPr>
            </w:pPr>
            <w:r>
              <w:rPr>
                <w:rFonts w:ascii="Arial" w:hAnsi="Arial" w:cs="Arial"/>
              </w:rPr>
              <w:t>20</w:t>
            </w:r>
            <w:r w:rsidRPr="008E4C90" w:rsidR="007E73A3">
              <w:rPr>
                <w:rFonts w:ascii="Arial" w:hAnsi="Arial" w:cs="Arial"/>
              </w:rPr>
              <w:t>%</w:t>
            </w:r>
          </w:p>
        </w:tc>
        <w:tc>
          <w:tcPr>
            <w:tcW w:w="3302" w:type="dxa"/>
          </w:tcPr>
          <w:p w:rsidRPr="008E4C90" w:rsidR="00EF6454" w:rsidP="00EF6454" w:rsidRDefault="00436F23" w14:paraId="09AE169C" w14:textId="3B8F986B">
            <w:pPr>
              <w:rPr>
                <w:rFonts w:ascii="Arial" w:hAnsi="Arial" w:cs="Arial"/>
              </w:rPr>
            </w:pPr>
            <w:r>
              <w:rPr>
                <w:rFonts w:ascii="Arial" w:hAnsi="Arial" w:cs="Arial"/>
              </w:rPr>
              <w:t>80</w:t>
            </w:r>
            <w:r w:rsidRPr="008E4C90" w:rsidR="007E73A3">
              <w:rPr>
                <w:rFonts w:ascii="Arial" w:hAnsi="Arial" w:cs="Arial"/>
              </w:rPr>
              <w:t>%</w:t>
            </w:r>
          </w:p>
        </w:tc>
      </w:tr>
      <w:tr w:rsidR="00EF6454" w:rsidTr="0060416A" w14:paraId="2CBF41C9" w14:textId="77777777">
        <w:tc>
          <w:tcPr>
            <w:tcW w:w="3301" w:type="dxa"/>
          </w:tcPr>
          <w:p w:rsidRPr="00051D6D" w:rsidR="00EF6454" w:rsidP="00EF6454" w:rsidRDefault="001D5750" w14:paraId="5D635E58" w14:textId="014C68E3">
            <w:pPr>
              <w:rPr>
                <w:rFonts w:ascii="Arial" w:hAnsi="Arial" w:cs="Arial"/>
                <w:b/>
                <w:bCs/>
              </w:rPr>
            </w:pPr>
            <w:r>
              <w:rPr>
                <w:rFonts w:ascii="Arial" w:hAnsi="Arial" w:cs="Arial"/>
                <w:b/>
                <w:bCs/>
              </w:rPr>
              <w:t xml:space="preserve">Lower middle hourly pay quarter </w:t>
            </w:r>
          </w:p>
        </w:tc>
        <w:tc>
          <w:tcPr>
            <w:tcW w:w="3302" w:type="dxa"/>
          </w:tcPr>
          <w:p w:rsidRPr="008E4C90" w:rsidR="00EF6454" w:rsidP="00EF6454" w:rsidRDefault="00436F23" w14:paraId="48273FFE" w14:textId="7332EC66">
            <w:pPr>
              <w:rPr>
                <w:rFonts w:ascii="Arial" w:hAnsi="Arial" w:cs="Arial"/>
              </w:rPr>
            </w:pPr>
            <w:r>
              <w:rPr>
                <w:rFonts w:ascii="Arial" w:hAnsi="Arial" w:cs="Arial"/>
              </w:rPr>
              <w:t>14</w:t>
            </w:r>
            <w:r w:rsidRPr="008E4C90" w:rsidR="008E4C90">
              <w:rPr>
                <w:rFonts w:ascii="Arial" w:hAnsi="Arial" w:cs="Arial"/>
              </w:rPr>
              <w:t>%</w:t>
            </w:r>
          </w:p>
        </w:tc>
        <w:tc>
          <w:tcPr>
            <w:tcW w:w="3302" w:type="dxa"/>
          </w:tcPr>
          <w:p w:rsidRPr="008E4C90" w:rsidR="00EF6454" w:rsidP="00EF6454" w:rsidRDefault="00436F23" w14:paraId="24CECDF0" w14:textId="0744FF49">
            <w:pPr>
              <w:rPr>
                <w:rFonts w:ascii="Arial" w:hAnsi="Arial" w:cs="Arial"/>
              </w:rPr>
            </w:pPr>
            <w:r>
              <w:rPr>
                <w:rFonts w:ascii="Arial" w:hAnsi="Arial" w:cs="Arial"/>
              </w:rPr>
              <w:t>86</w:t>
            </w:r>
            <w:r w:rsidRPr="008E4C90" w:rsidR="008E4C90">
              <w:rPr>
                <w:rFonts w:ascii="Arial" w:hAnsi="Arial" w:cs="Arial"/>
              </w:rPr>
              <w:t>%</w:t>
            </w:r>
          </w:p>
        </w:tc>
      </w:tr>
      <w:tr w:rsidR="00EF6454" w:rsidTr="0060416A" w14:paraId="328C04D3" w14:textId="77777777">
        <w:tc>
          <w:tcPr>
            <w:tcW w:w="3301" w:type="dxa"/>
          </w:tcPr>
          <w:p w:rsidRPr="00051D6D" w:rsidR="00EF6454" w:rsidP="00EF6454" w:rsidRDefault="001D5750" w14:paraId="404B8E71" w14:textId="6BEEFDC1">
            <w:pPr>
              <w:rPr>
                <w:rFonts w:ascii="Arial" w:hAnsi="Arial" w:cs="Arial"/>
                <w:b/>
                <w:bCs/>
              </w:rPr>
            </w:pPr>
            <w:r>
              <w:rPr>
                <w:rFonts w:ascii="Arial" w:hAnsi="Arial" w:cs="Arial"/>
                <w:b/>
                <w:bCs/>
              </w:rPr>
              <w:t xml:space="preserve">Upper middle hourly pay quarter </w:t>
            </w:r>
          </w:p>
        </w:tc>
        <w:tc>
          <w:tcPr>
            <w:tcW w:w="3302" w:type="dxa"/>
          </w:tcPr>
          <w:p w:rsidRPr="008E4C90" w:rsidR="00EF6454" w:rsidP="00EF6454" w:rsidRDefault="004D76E9" w14:paraId="2DA45766" w14:textId="45914258">
            <w:pPr>
              <w:rPr>
                <w:rFonts w:ascii="Arial" w:hAnsi="Arial" w:cs="Arial"/>
              </w:rPr>
            </w:pPr>
            <w:r>
              <w:rPr>
                <w:rFonts w:ascii="Arial" w:hAnsi="Arial" w:cs="Arial"/>
              </w:rPr>
              <w:t>14%</w:t>
            </w:r>
          </w:p>
        </w:tc>
        <w:tc>
          <w:tcPr>
            <w:tcW w:w="3302" w:type="dxa"/>
          </w:tcPr>
          <w:p w:rsidRPr="008E4C90" w:rsidR="00EF6454" w:rsidP="00EF6454" w:rsidRDefault="004D76E9" w14:paraId="14B9AF6F" w14:textId="5EC0E48C">
            <w:pPr>
              <w:rPr>
                <w:rFonts w:ascii="Arial" w:hAnsi="Arial" w:cs="Arial"/>
              </w:rPr>
            </w:pPr>
            <w:r>
              <w:rPr>
                <w:rFonts w:ascii="Arial" w:hAnsi="Arial" w:cs="Arial"/>
              </w:rPr>
              <w:t>86%</w:t>
            </w:r>
          </w:p>
        </w:tc>
      </w:tr>
      <w:tr w:rsidR="00EF6454" w:rsidTr="0060416A" w14:paraId="16527D11" w14:textId="77777777">
        <w:tc>
          <w:tcPr>
            <w:tcW w:w="3301" w:type="dxa"/>
          </w:tcPr>
          <w:p w:rsidRPr="00051D6D" w:rsidR="00EF6454" w:rsidP="00EF6454" w:rsidRDefault="001D5750" w14:paraId="40A1E1C7" w14:textId="33CADB0D">
            <w:pPr>
              <w:rPr>
                <w:rFonts w:ascii="Arial" w:hAnsi="Arial" w:cs="Arial"/>
                <w:b/>
                <w:bCs/>
              </w:rPr>
            </w:pPr>
            <w:r>
              <w:rPr>
                <w:rFonts w:ascii="Arial" w:hAnsi="Arial" w:cs="Arial"/>
                <w:b/>
                <w:bCs/>
              </w:rPr>
              <w:t>Upper hourly pay quarter</w:t>
            </w:r>
          </w:p>
        </w:tc>
        <w:tc>
          <w:tcPr>
            <w:tcW w:w="3302" w:type="dxa"/>
          </w:tcPr>
          <w:p w:rsidRPr="008E4C90" w:rsidR="00EF6454" w:rsidP="00EF6454" w:rsidRDefault="00891D27" w14:paraId="1D5F61F1" w14:textId="4184C2D5">
            <w:pPr>
              <w:rPr>
                <w:rFonts w:ascii="Arial" w:hAnsi="Arial" w:cs="Arial"/>
              </w:rPr>
            </w:pPr>
            <w:r>
              <w:rPr>
                <w:rFonts w:ascii="Arial" w:hAnsi="Arial" w:cs="Arial"/>
              </w:rPr>
              <w:t>31</w:t>
            </w:r>
            <w:r w:rsidR="00051D6D">
              <w:rPr>
                <w:rFonts w:ascii="Arial" w:hAnsi="Arial" w:cs="Arial"/>
              </w:rPr>
              <w:t>%</w:t>
            </w:r>
          </w:p>
        </w:tc>
        <w:tc>
          <w:tcPr>
            <w:tcW w:w="3302" w:type="dxa"/>
          </w:tcPr>
          <w:p w:rsidRPr="008E4C90" w:rsidR="00EF6454" w:rsidP="00EF6454" w:rsidRDefault="00891D27" w14:paraId="6F3D1B70" w14:textId="530C8A4F">
            <w:pPr>
              <w:rPr>
                <w:rFonts w:ascii="Arial" w:hAnsi="Arial" w:cs="Arial"/>
              </w:rPr>
            </w:pPr>
            <w:r>
              <w:rPr>
                <w:rFonts w:ascii="Arial" w:hAnsi="Arial" w:cs="Arial"/>
              </w:rPr>
              <w:t>69</w:t>
            </w:r>
            <w:r w:rsidR="00051D6D">
              <w:rPr>
                <w:rFonts w:ascii="Arial" w:hAnsi="Arial" w:cs="Arial"/>
              </w:rPr>
              <w:t>%</w:t>
            </w:r>
          </w:p>
        </w:tc>
      </w:tr>
    </w:tbl>
    <w:p w:rsidR="00CD2A43" w:rsidP="00CD2A43" w:rsidRDefault="00CD2A43" w14:paraId="009C6C61" w14:textId="77777777"/>
    <w:p w:rsidR="00CD2A43" w:rsidP="00CD2A43" w:rsidRDefault="00CD2A43" w14:paraId="04AB5A6E" w14:textId="77777777"/>
    <w:tbl>
      <w:tblPr>
        <w:tblStyle w:val="TableGrid"/>
        <w:tblW w:w="0" w:type="auto"/>
        <w:tblLook w:val="04A0" w:firstRow="1" w:lastRow="0" w:firstColumn="1" w:lastColumn="0" w:noHBand="0" w:noVBand="1"/>
      </w:tblPr>
      <w:tblGrid>
        <w:gridCol w:w="3301"/>
        <w:gridCol w:w="3302"/>
        <w:gridCol w:w="3302"/>
      </w:tblGrid>
      <w:tr w:rsidR="001D20D0" w:rsidTr="00B67C6E" w14:paraId="3185AA2B" w14:textId="77777777">
        <w:tc>
          <w:tcPr>
            <w:tcW w:w="3301" w:type="dxa"/>
            <w:shd w:val="clear" w:color="auto" w:fill="4F2256"/>
          </w:tcPr>
          <w:p w:rsidRPr="00891D27" w:rsidR="001D20D0" w:rsidP="00CD2A43" w:rsidRDefault="001D20D0" w14:paraId="0E145EAF" w14:textId="41864A63">
            <w:pPr>
              <w:rPr>
                <w:rFonts w:ascii="Arial" w:hAnsi="Arial" w:cs="Arial"/>
                <w:b/>
                <w:bCs/>
              </w:rPr>
            </w:pPr>
            <w:r w:rsidRPr="00891D27">
              <w:rPr>
                <w:rFonts w:ascii="Arial" w:hAnsi="Arial" w:cs="Arial"/>
                <w:b/>
                <w:bCs/>
              </w:rPr>
              <w:t xml:space="preserve">Mean Differences </w:t>
            </w:r>
            <w:proofErr w:type="gramStart"/>
            <w:r w:rsidRPr="00891D27">
              <w:rPr>
                <w:rFonts w:ascii="Arial" w:hAnsi="Arial" w:cs="Arial"/>
                <w:b/>
                <w:bCs/>
              </w:rPr>
              <w:t>For</w:t>
            </w:r>
            <w:proofErr w:type="gramEnd"/>
            <w:r w:rsidRPr="00891D27">
              <w:rPr>
                <w:rFonts w:ascii="Arial" w:hAnsi="Arial" w:cs="Arial"/>
                <w:b/>
                <w:bCs/>
              </w:rPr>
              <w:t xml:space="preserve"> Women</w:t>
            </w:r>
          </w:p>
        </w:tc>
        <w:tc>
          <w:tcPr>
            <w:tcW w:w="3302" w:type="dxa"/>
            <w:shd w:val="clear" w:color="auto" w:fill="4F2256"/>
          </w:tcPr>
          <w:p w:rsidRPr="00891D27" w:rsidR="001D20D0" w:rsidP="00CD2A43" w:rsidRDefault="001D20D0" w14:paraId="58E41B57" w14:textId="77777777">
            <w:pPr>
              <w:rPr>
                <w:rFonts w:ascii="Arial" w:hAnsi="Arial" w:cs="Arial"/>
                <w:b/>
                <w:bCs/>
              </w:rPr>
            </w:pPr>
            <w:r>
              <w:rPr>
                <w:rFonts w:ascii="Arial" w:hAnsi="Arial" w:cs="Arial"/>
                <w:b/>
                <w:bCs/>
              </w:rPr>
              <w:t>%</w:t>
            </w:r>
          </w:p>
        </w:tc>
        <w:tc>
          <w:tcPr>
            <w:tcW w:w="3302" w:type="dxa"/>
            <w:shd w:val="clear" w:color="auto" w:fill="4F2256"/>
          </w:tcPr>
          <w:p w:rsidRPr="00891D27" w:rsidR="001D20D0" w:rsidP="00CD2A43" w:rsidRDefault="001D20D0" w14:paraId="7AB5F505" w14:textId="5B135694">
            <w:pPr>
              <w:rPr>
                <w:rFonts w:ascii="Arial" w:hAnsi="Arial" w:cs="Arial"/>
                <w:b/>
                <w:bCs/>
              </w:rPr>
            </w:pPr>
            <w:r>
              <w:rPr>
                <w:rFonts w:ascii="Arial" w:hAnsi="Arial" w:cs="Arial"/>
                <w:b/>
                <w:bCs/>
              </w:rPr>
              <w:t>2024/25</w:t>
            </w:r>
            <w:r w:rsidR="009A0C12">
              <w:rPr>
                <w:rFonts w:ascii="Arial" w:hAnsi="Arial" w:cs="Arial"/>
                <w:b/>
                <w:bCs/>
              </w:rPr>
              <w:t xml:space="preserve"> %</w:t>
            </w:r>
          </w:p>
        </w:tc>
      </w:tr>
      <w:tr w:rsidR="00D70A68" w:rsidTr="00D70A68" w14:paraId="1B4DAF63" w14:textId="77777777">
        <w:tc>
          <w:tcPr>
            <w:tcW w:w="3301" w:type="dxa"/>
          </w:tcPr>
          <w:p w:rsidRPr="007B5F2E" w:rsidR="00D70A68" w:rsidP="00CD2A43" w:rsidRDefault="0009037C" w14:paraId="6FDDF614" w14:textId="15019932">
            <w:pPr>
              <w:rPr>
                <w:rFonts w:ascii="Arial" w:hAnsi="Arial" w:cs="Arial"/>
                <w:b/>
                <w:bCs/>
              </w:rPr>
            </w:pPr>
            <w:r w:rsidRPr="007B5F2E">
              <w:rPr>
                <w:rFonts w:ascii="Arial" w:hAnsi="Arial" w:cs="Arial"/>
                <w:b/>
                <w:bCs/>
              </w:rPr>
              <w:t>Total</w:t>
            </w:r>
            <w:r w:rsidR="007B5F2E">
              <w:rPr>
                <w:rFonts w:ascii="Arial" w:hAnsi="Arial" w:cs="Arial"/>
                <w:b/>
                <w:bCs/>
              </w:rPr>
              <w:t xml:space="preserve"> (All quarters)</w:t>
            </w:r>
          </w:p>
        </w:tc>
        <w:tc>
          <w:tcPr>
            <w:tcW w:w="3302" w:type="dxa"/>
          </w:tcPr>
          <w:p w:rsidRPr="00891D27" w:rsidR="00D70A68" w:rsidP="00CD2A43" w:rsidRDefault="00401947" w14:paraId="313661E4" w14:textId="4D10571A">
            <w:pPr>
              <w:rPr>
                <w:rFonts w:ascii="Arial" w:hAnsi="Arial" w:cs="Arial"/>
              </w:rPr>
            </w:pPr>
            <w:r>
              <w:rPr>
                <w:rFonts w:ascii="Arial" w:hAnsi="Arial" w:cs="Arial"/>
              </w:rPr>
              <w:t xml:space="preserve">2% </w:t>
            </w:r>
            <w:r w:rsidRPr="00891D27" w:rsidR="00844839">
              <w:rPr>
                <w:rFonts w:ascii="Arial" w:hAnsi="Arial" w:cs="Arial"/>
              </w:rPr>
              <w:t>Lower</w:t>
            </w:r>
          </w:p>
        </w:tc>
        <w:tc>
          <w:tcPr>
            <w:tcW w:w="3302" w:type="dxa"/>
          </w:tcPr>
          <w:p w:rsidRPr="00E53DC9" w:rsidR="00D70A68" w:rsidP="00CD2A43" w:rsidRDefault="009A0C12" w14:paraId="0E562ECA" w14:textId="1B88083E">
            <w:pPr>
              <w:rPr>
                <w:rFonts w:ascii="Arial" w:hAnsi="Arial" w:cs="Arial"/>
              </w:rPr>
            </w:pPr>
            <w:r w:rsidRPr="00E53DC9">
              <w:rPr>
                <w:rFonts w:ascii="Arial" w:hAnsi="Arial" w:cs="Arial"/>
              </w:rPr>
              <w:t xml:space="preserve">10.22% Lower  </w:t>
            </w:r>
          </w:p>
        </w:tc>
      </w:tr>
      <w:tr w:rsidR="007B5F2E" w:rsidTr="00D70A68" w14:paraId="440077E4" w14:textId="77777777">
        <w:tc>
          <w:tcPr>
            <w:tcW w:w="3301" w:type="dxa"/>
          </w:tcPr>
          <w:p w:rsidRPr="00891D27" w:rsidR="007B5F2E" w:rsidP="007B5F2E" w:rsidRDefault="007B5F2E" w14:paraId="0E4E1EB1" w14:textId="2BA9179B">
            <w:pPr>
              <w:rPr>
                <w:rFonts w:ascii="Arial" w:hAnsi="Arial" w:cs="Arial"/>
              </w:rPr>
            </w:pPr>
            <w:r>
              <w:rPr>
                <w:rFonts w:ascii="Arial" w:hAnsi="Arial" w:cs="Arial"/>
                <w:b/>
                <w:bCs/>
              </w:rPr>
              <w:t>Lower hourly pay quarter</w:t>
            </w:r>
          </w:p>
        </w:tc>
        <w:tc>
          <w:tcPr>
            <w:tcW w:w="3302" w:type="dxa"/>
          </w:tcPr>
          <w:p w:rsidRPr="00891D27" w:rsidR="007B5F2E" w:rsidP="007B5F2E" w:rsidRDefault="007B5F2E" w14:paraId="65FC28D7" w14:textId="2037C2E5">
            <w:pPr>
              <w:rPr>
                <w:rFonts w:ascii="Arial" w:hAnsi="Arial" w:cs="Arial"/>
              </w:rPr>
            </w:pPr>
            <w:r>
              <w:rPr>
                <w:rFonts w:ascii="Arial" w:hAnsi="Arial" w:cs="Arial"/>
              </w:rPr>
              <w:t>2.59% Higher</w:t>
            </w:r>
          </w:p>
        </w:tc>
        <w:tc>
          <w:tcPr>
            <w:tcW w:w="3302" w:type="dxa"/>
          </w:tcPr>
          <w:p w:rsidRPr="00E53DC9" w:rsidR="007B5F2E" w:rsidP="007B5F2E" w:rsidRDefault="007D6446" w14:paraId="15B7B752" w14:textId="2FF233B1">
            <w:pPr>
              <w:rPr>
                <w:rFonts w:ascii="Arial" w:hAnsi="Arial" w:cs="Arial"/>
              </w:rPr>
            </w:pPr>
            <w:r w:rsidRPr="00E53DC9">
              <w:rPr>
                <w:rFonts w:ascii="Arial" w:hAnsi="Arial" w:cs="Arial"/>
              </w:rPr>
              <w:t>4.29% Higher</w:t>
            </w:r>
          </w:p>
        </w:tc>
      </w:tr>
      <w:tr w:rsidR="007B5F2E" w:rsidTr="00D70A68" w14:paraId="3E75A572" w14:textId="77777777">
        <w:tc>
          <w:tcPr>
            <w:tcW w:w="3301" w:type="dxa"/>
          </w:tcPr>
          <w:p w:rsidRPr="00891D27" w:rsidR="007B5F2E" w:rsidP="007B5F2E" w:rsidRDefault="007B5F2E" w14:paraId="61043B05" w14:textId="169970DD">
            <w:pPr>
              <w:rPr>
                <w:rFonts w:ascii="Arial" w:hAnsi="Arial" w:cs="Arial"/>
              </w:rPr>
            </w:pPr>
            <w:r>
              <w:rPr>
                <w:rFonts w:ascii="Arial" w:hAnsi="Arial" w:cs="Arial"/>
                <w:b/>
                <w:bCs/>
              </w:rPr>
              <w:t xml:space="preserve">Lower middle hourly pay quarter </w:t>
            </w:r>
          </w:p>
        </w:tc>
        <w:tc>
          <w:tcPr>
            <w:tcW w:w="3302" w:type="dxa"/>
          </w:tcPr>
          <w:p w:rsidRPr="00891D27" w:rsidR="007B5F2E" w:rsidP="007B5F2E" w:rsidRDefault="007B5F2E" w14:paraId="7A591CCF" w14:textId="0FFDDB94">
            <w:pPr>
              <w:rPr>
                <w:rFonts w:ascii="Arial" w:hAnsi="Arial" w:cs="Arial"/>
              </w:rPr>
            </w:pPr>
            <w:r>
              <w:rPr>
                <w:rFonts w:ascii="Arial" w:hAnsi="Arial" w:cs="Arial"/>
              </w:rPr>
              <w:t xml:space="preserve">0.29% Lower </w:t>
            </w:r>
          </w:p>
        </w:tc>
        <w:tc>
          <w:tcPr>
            <w:tcW w:w="3302" w:type="dxa"/>
          </w:tcPr>
          <w:p w:rsidRPr="00E53DC9" w:rsidR="007B5F2E" w:rsidP="007B5F2E" w:rsidRDefault="00897A34" w14:paraId="47B323EA" w14:textId="226171AF">
            <w:pPr>
              <w:rPr>
                <w:rFonts w:ascii="Arial" w:hAnsi="Arial" w:cs="Arial"/>
              </w:rPr>
            </w:pPr>
            <w:r w:rsidRPr="00E53DC9">
              <w:rPr>
                <w:rFonts w:ascii="Arial" w:hAnsi="Arial" w:cs="Arial"/>
              </w:rPr>
              <w:t xml:space="preserve">0.16% Lower </w:t>
            </w:r>
          </w:p>
        </w:tc>
      </w:tr>
      <w:tr w:rsidR="007B5F2E" w:rsidTr="00D70A68" w14:paraId="30442192" w14:textId="77777777">
        <w:tc>
          <w:tcPr>
            <w:tcW w:w="3301" w:type="dxa"/>
          </w:tcPr>
          <w:p w:rsidRPr="00891D27" w:rsidR="007B5F2E" w:rsidP="007B5F2E" w:rsidRDefault="007B5F2E" w14:paraId="4258CD4C" w14:textId="5D6E2DFA">
            <w:pPr>
              <w:rPr>
                <w:rFonts w:ascii="Arial" w:hAnsi="Arial" w:cs="Arial"/>
              </w:rPr>
            </w:pPr>
            <w:r>
              <w:rPr>
                <w:rFonts w:ascii="Arial" w:hAnsi="Arial" w:cs="Arial"/>
                <w:b/>
                <w:bCs/>
              </w:rPr>
              <w:t xml:space="preserve">Upper middle hourly pay quarter </w:t>
            </w:r>
          </w:p>
        </w:tc>
        <w:tc>
          <w:tcPr>
            <w:tcW w:w="3302" w:type="dxa"/>
          </w:tcPr>
          <w:p w:rsidRPr="00891D27" w:rsidR="007B5F2E" w:rsidP="007B5F2E" w:rsidRDefault="007B5F2E" w14:paraId="63C8B001" w14:textId="617E3540">
            <w:pPr>
              <w:rPr>
                <w:rFonts w:ascii="Arial" w:hAnsi="Arial" w:cs="Arial"/>
              </w:rPr>
            </w:pPr>
            <w:r>
              <w:rPr>
                <w:rFonts w:ascii="Arial" w:hAnsi="Arial" w:cs="Arial"/>
              </w:rPr>
              <w:t>1% Lower</w:t>
            </w:r>
          </w:p>
        </w:tc>
        <w:tc>
          <w:tcPr>
            <w:tcW w:w="3302" w:type="dxa"/>
          </w:tcPr>
          <w:p w:rsidRPr="00E53DC9" w:rsidR="007B5F2E" w:rsidP="007B5F2E" w:rsidRDefault="00897A34" w14:paraId="2514F693" w14:textId="61F364BE">
            <w:pPr>
              <w:rPr>
                <w:rFonts w:ascii="Arial" w:hAnsi="Arial" w:cs="Arial"/>
              </w:rPr>
            </w:pPr>
            <w:r w:rsidRPr="00E53DC9">
              <w:rPr>
                <w:rFonts w:ascii="Arial" w:hAnsi="Arial" w:cs="Arial"/>
              </w:rPr>
              <w:t>2.39% Lower</w:t>
            </w:r>
          </w:p>
        </w:tc>
      </w:tr>
      <w:tr w:rsidR="007B5F2E" w:rsidTr="00D70A68" w14:paraId="1370BC32" w14:textId="77777777">
        <w:tc>
          <w:tcPr>
            <w:tcW w:w="3301" w:type="dxa"/>
          </w:tcPr>
          <w:p w:rsidRPr="00891D27" w:rsidR="007B5F2E" w:rsidP="007B5F2E" w:rsidRDefault="007B5F2E" w14:paraId="40C8B269" w14:textId="3C187245">
            <w:pPr>
              <w:rPr>
                <w:rFonts w:ascii="Arial" w:hAnsi="Arial" w:cs="Arial"/>
              </w:rPr>
            </w:pPr>
            <w:r>
              <w:rPr>
                <w:rFonts w:ascii="Arial" w:hAnsi="Arial" w:cs="Arial"/>
                <w:b/>
                <w:bCs/>
              </w:rPr>
              <w:t>Upper hourly pay quarter</w:t>
            </w:r>
          </w:p>
        </w:tc>
        <w:tc>
          <w:tcPr>
            <w:tcW w:w="3302" w:type="dxa"/>
          </w:tcPr>
          <w:p w:rsidRPr="00891D27" w:rsidR="007B5F2E" w:rsidP="007B5F2E" w:rsidRDefault="007B5F2E" w14:paraId="6E712DD9" w14:textId="37D41691">
            <w:pPr>
              <w:rPr>
                <w:rFonts w:ascii="Arial" w:hAnsi="Arial" w:cs="Arial"/>
              </w:rPr>
            </w:pPr>
            <w:r>
              <w:rPr>
                <w:rFonts w:ascii="Arial" w:hAnsi="Arial" w:cs="Arial"/>
              </w:rPr>
              <w:t xml:space="preserve">8% Higher </w:t>
            </w:r>
          </w:p>
        </w:tc>
        <w:tc>
          <w:tcPr>
            <w:tcW w:w="3302" w:type="dxa"/>
          </w:tcPr>
          <w:p w:rsidRPr="00E53DC9" w:rsidR="007B5F2E" w:rsidP="007B5F2E" w:rsidRDefault="00E53DC9" w14:paraId="06F8D785" w14:textId="2C3BE635">
            <w:pPr>
              <w:rPr>
                <w:rFonts w:ascii="Arial" w:hAnsi="Arial" w:cs="Arial"/>
              </w:rPr>
            </w:pPr>
            <w:r w:rsidRPr="00E53DC9">
              <w:rPr>
                <w:rFonts w:ascii="Arial" w:hAnsi="Arial" w:cs="Arial"/>
              </w:rPr>
              <w:t>9.12% Lower</w:t>
            </w:r>
          </w:p>
        </w:tc>
      </w:tr>
    </w:tbl>
    <w:p w:rsidR="00CD2A43" w:rsidP="00CD2A43" w:rsidRDefault="00CD2A43" w14:paraId="65A68C33" w14:textId="77777777"/>
    <w:p w:rsidRPr="00CD2A43" w:rsidR="00250356" w:rsidP="00CD2A43" w:rsidRDefault="00250356" w14:paraId="57BD4358" w14:textId="77777777"/>
    <w:tbl>
      <w:tblPr>
        <w:tblStyle w:val="TableGrid"/>
        <w:tblW w:w="0" w:type="auto"/>
        <w:tblLook w:val="04A0" w:firstRow="1" w:lastRow="0" w:firstColumn="1" w:lastColumn="0" w:noHBand="0" w:noVBand="1"/>
      </w:tblPr>
      <w:tblGrid>
        <w:gridCol w:w="3301"/>
        <w:gridCol w:w="3302"/>
        <w:gridCol w:w="3302"/>
      </w:tblGrid>
      <w:tr w:rsidR="001D20D0" w:rsidTr="004F79F7" w14:paraId="0D7A47B5" w14:textId="77777777">
        <w:tc>
          <w:tcPr>
            <w:tcW w:w="3301" w:type="dxa"/>
            <w:shd w:val="clear" w:color="auto" w:fill="4F2256"/>
          </w:tcPr>
          <w:p w:rsidR="001D20D0" w:rsidP="001D20D0" w:rsidRDefault="001D20D0" w14:paraId="2E9861CF" w14:textId="5D97864F">
            <w:pPr>
              <w:pStyle w:val="Heading3"/>
            </w:pPr>
            <w:bookmarkStart w:name="_Toc35420324" w:id="0"/>
            <w:r>
              <w:t xml:space="preserve">Median Differences </w:t>
            </w:r>
            <w:proofErr w:type="gramStart"/>
            <w:r>
              <w:t>For</w:t>
            </w:r>
            <w:proofErr w:type="gramEnd"/>
            <w:r>
              <w:t xml:space="preserve"> Women</w:t>
            </w:r>
          </w:p>
        </w:tc>
        <w:tc>
          <w:tcPr>
            <w:tcW w:w="3302" w:type="dxa"/>
            <w:shd w:val="clear" w:color="auto" w:fill="4F2256"/>
          </w:tcPr>
          <w:p w:rsidR="001D20D0" w:rsidP="001D20D0" w:rsidRDefault="001D20D0" w14:paraId="26ED11C6" w14:textId="136529DA">
            <w:pPr>
              <w:pStyle w:val="Heading3"/>
            </w:pPr>
            <w:r>
              <w:t>%</w:t>
            </w:r>
          </w:p>
        </w:tc>
        <w:tc>
          <w:tcPr>
            <w:tcW w:w="3302" w:type="dxa"/>
            <w:shd w:val="clear" w:color="auto" w:fill="4F2256"/>
          </w:tcPr>
          <w:p w:rsidRPr="001D20D0" w:rsidR="001D20D0" w:rsidP="001D20D0" w:rsidRDefault="001D20D0" w14:paraId="6FCFAF05" w14:textId="786A2507">
            <w:pPr>
              <w:pStyle w:val="Heading3"/>
            </w:pPr>
            <w:r w:rsidRPr="001D20D0">
              <w:t>2024/25</w:t>
            </w:r>
            <w:r w:rsidR="00E53DC9">
              <w:t xml:space="preserve"> %</w:t>
            </w:r>
          </w:p>
        </w:tc>
      </w:tr>
      <w:tr w:rsidR="001D20D0" w:rsidTr="009F2914" w14:paraId="4ADA1010" w14:textId="77777777">
        <w:tc>
          <w:tcPr>
            <w:tcW w:w="3301" w:type="dxa"/>
          </w:tcPr>
          <w:p w:rsidRPr="001D20D0" w:rsidR="001D20D0" w:rsidP="001D20D0" w:rsidRDefault="001D20D0" w14:paraId="271DAC05" w14:textId="1E60F4DB">
            <w:pPr>
              <w:pStyle w:val="Heading3"/>
            </w:pPr>
            <w:r w:rsidRPr="001D20D0">
              <w:t>Total (All quarters)</w:t>
            </w:r>
          </w:p>
        </w:tc>
        <w:tc>
          <w:tcPr>
            <w:tcW w:w="3302" w:type="dxa"/>
          </w:tcPr>
          <w:p w:rsidRPr="009F2914" w:rsidR="001D20D0" w:rsidP="001D20D0" w:rsidRDefault="00B706B3" w14:paraId="385CF74F" w14:textId="60BC91F5">
            <w:pPr>
              <w:pStyle w:val="Heading3"/>
              <w:rPr>
                <w:b w:val="0"/>
                <w:bCs/>
              </w:rPr>
            </w:pPr>
            <w:r>
              <w:rPr>
                <w:b w:val="0"/>
                <w:bCs/>
              </w:rPr>
              <w:t>2</w:t>
            </w:r>
            <w:r w:rsidR="001D20D0">
              <w:rPr>
                <w:b w:val="0"/>
                <w:bCs/>
              </w:rPr>
              <w:t>% Lower</w:t>
            </w:r>
          </w:p>
        </w:tc>
        <w:tc>
          <w:tcPr>
            <w:tcW w:w="3302" w:type="dxa"/>
          </w:tcPr>
          <w:p w:rsidRPr="000E468E" w:rsidR="001D20D0" w:rsidP="001D20D0" w:rsidRDefault="000E468E" w14:paraId="61887414" w14:textId="3679366A">
            <w:pPr>
              <w:pStyle w:val="Heading3"/>
              <w:rPr>
                <w:b w:val="0"/>
                <w:bCs/>
              </w:rPr>
            </w:pPr>
            <w:r w:rsidRPr="000E468E">
              <w:rPr>
                <w:b w:val="0"/>
                <w:bCs/>
              </w:rPr>
              <w:t>4.02% Lower</w:t>
            </w:r>
          </w:p>
        </w:tc>
      </w:tr>
      <w:tr w:rsidR="001D20D0" w:rsidTr="009F2914" w14:paraId="36F6A719" w14:textId="77777777">
        <w:tc>
          <w:tcPr>
            <w:tcW w:w="3301" w:type="dxa"/>
          </w:tcPr>
          <w:p w:rsidRPr="001D20D0" w:rsidR="001D20D0" w:rsidP="001D20D0" w:rsidRDefault="001D20D0" w14:paraId="2AA705C3" w14:textId="36B00EE8">
            <w:pPr>
              <w:pStyle w:val="Heading3"/>
            </w:pPr>
            <w:r w:rsidRPr="001D20D0">
              <w:t>Lower hourly pay quarter</w:t>
            </w:r>
          </w:p>
        </w:tc>
        <w:tc>
          <w:tcPr>
            <w:tcW w:w="3302" w:type="dxa"/>
          </w:tcPr>
          <w:p w:rsidRPr="00E14344" w:rsidR="001D20D0" w:rsidP="001D20D0" w:rsidRDefault="001D20D0" w14:paraId="6494DC69" w14:textId="6A3965D2">
            <w:pPr>
              <w:pStyle w:val="Heading3"/>
              <w:rPr>
                <w:b w:val="0"/>
                <w:bCs/>
              </w:rPr>
            </w:pPr>
            <w:r>
              <w:rPr>
                <w:b w:val="0"/>
                <w:bCs/>
              </w:rPr>
              <w:t>4% Higher</w:t>
            </w:r>
          </w:p>
        </w:tc>
        <w:tc>
          <w:tcPr>
            <w:tcW w:w="3302" w:type="dxa"/>
          </w:tcPr>
          <w:p w:rsidRPr="0097443E" w:rsidR="001D20D0" w:rsidP="001D20D0" w:rsidRDefault="00FE7A71" w14:paraId="3DD8886E" w14:textId="5AE6100C">
            <w:pPr>
              <w:pStyle w:val="Heading3"/>
              <w:rPr>
                <w:b w:val="0"/>
                <w:bCs/>
              </w:rPr>
            </w:pPr>
            <w:r w:rsidRPr="0097443E">
              <w:rPr>
                <w:b w:val="0"/>
                <w:bCs/>
              </w:rPr>
              <w:t>1.21% Higher</w:t>
            </w:r>
          </w:p>
        </w:tc>
      </w:tr>
      <w:tr w:rsidR="001D20D0" w:rsidTr="009F2914" w14:paraId="45E3D541" w14:textId="77777777">
        <w:tc>
          <w:tcPr>
            <w:tcW w:w="3301" w:type="dxa"/>
          </w:tcPr>
          <w:p w:rsidRPr="001D20D0" w:rsidR="001D20D0" w:rsidP="001D20D0" w:rsidRDefault="001D20D0" w14:paraId="2F753A55" w14:textId="6A209265">
            <w:pPr>
              <w:pStyle w:val="Heading3"/>
            </w:pPr>
            <w:r w:rsidRPr="001D20D0">
              <w:t xml:space="preserve">Lower middle hourly pay quarter </w:t>
            </w:r>
          </w:p>
        </w:tc>
        <w:tc>
          <w:tcPr>
            <w:tcW w:w="3302" w:type="dxa"/>
          </w:tcPr>
          <w:p w:rsidRPr="00B20588" w:rsidR="001D20D0" w:rsidP="001D20D0" w:rsidRDefault="001D20D0" w14:paraId="3F4B96F6" w14:textId="4CAA8BFD">
            <w:pPr>
              <w:pStyle w:val="Heading3"/>
              <w:rPr>
                <w:b w:val="0"/>
                <w:bCs/>
              </w:rPr>
            </w:pPr>
            <w:r w:rsidRPr="00B20588">
              <w:rPr>
                <w:b w:val="0"/>
                <w:bCs/>
              </w:rPr>
              <w:t xml:space="preserve">0% </w:t>
            </w:r>
          </w:p>
        </w:tc>
        <w:tc>
          <w:tcPr>
            <w:tcW w:w="3302" w:type="dxa"/>
          </w:tcPr>
          <w:p w:rsidRPr="0097443E" w:rsidR="001D20D0" w:rsidP="001D20D0" w:rsidRDefault="00FE7A71" w14:paraId="51EB2B2A" w14:textId="1E1CDEC6">
            <w:pPr>
              <w:pStyle w:val="Heading3"/>
              <w:rPr>
                <w:b w:val="0"/>
                <w:bCs/>
              </w:rPr>
            </w:pPr>
            <w:r w:rsidRPr="0097443E">
              <w:rPr>
                <w:b w:val="0"/>
                <w:bCs/>
              </w:rPr>
              <w:t>1.11% Lower</w:t>
            </w:r>
          </w:p>
        </w:tc>
      </w:tr>
      <w:tr w:rsidR="001D20D0" w:rsidTr="009F2914" w14:paraId="28AE1D9C" w14:textId="77777777">
        <w:tc>
          <w:tcPr>
            <w:tcW w:w="3301" w:type="dxa"/>
          </w:tcPr>
          <w:p w:rsidRPr="001D20D0" w:rsidR="001D20D0" w:rsidP="001D20D0" w:rsidRDefault="001D20D0" w14:paraId="50790723" w14:textId="6E3AA596">
            <w:pPr>
              <w:pStyle w:val="Heading3"/>
            </w:pPr>
            <w:r w:rsidRPr="001D20D0">
              <w:t xml:space="preserve">Upper middle hourly pay quarter </w:t>
            </w:r>
          </w:p>
        </w:tc>
        <w:tc>
          <w:tcPr>
            <w:tcW w:w="3302" w:type="dxa"/>
          </w:tcPr>
          <w:p w:rsidRPr="00BC7F77" w:rsidR="001D20D0" w:rsidP="001D20D0" w:rsidRDefault="001D20D0" w14:paraId="4E13B277" w14:textId="5BD8536F">
            <w:pPr>
              <w:pStyle w:val="Heading3"/>
              <w:rPr>
                <w:b w:val="0"/>
                <w:bCs/>
              </w:rPr>
            </w:pPr>
            <w:r w:rsidRPr="00BC7F77">
              <w:rPr>
                <w:b w:val="0"/>
                <w:bCs/>
              </w:rPr>
              <w:t>0%</w:t>
            </w:r>
          </w:p>
        </w:tc>
        <w:tc>
          <w:tcPr>
            <w:tcW w:w="3302" w:type="dxa"/>
          </w:tcPr>
          <w:p w:rsidRPr="0097443E" w:rsidR="001D20D0" w:rsidP="001D20D0" w:rsidRDefault="00FE7A71" w14:paraId="64B25685" w14:textId="24EFC7EE">
            <w:pPr>
              <w:pStyle w:val="Heading3"/>
              <w:rPr>
                <w:b w:val="0"/>
                <w:bCs/>
              </w:rPr>
            </w:pPr>
            <w:r w:rsidRPr="0097443E">
              <w:rPr>
                <w:b w:val="0"/>
                <w:bCs/>
              </w:rPr>
              <w:t xml:space="preserve">3.79% </w:t>
            </w:r>
            <w:r w:rsidRPr="0097443E" w:rsidR="0097443E">
              <w:rPr>
                <w:b w:val="0"/>
                <w:bCs/>
              </w:rPr>
              <w:t>Lower</w:t>
            </w:r>
          </w:p>
        </w:tc>
      </w:tr>
      <w:tr w:rsidR="001D20D0" w:rsidTr="009F2914" w14:paraId="0E88BFEE" w14:textId="77777777">
        <w:tc>
          <w:tcPr>
            <w:tcW w:w="3301" w:type="dxa"/>
          </w:tcPr>
          <w:p w:rsidRPr="001D20D0" w:rsidR="001D20D0" w:rsidP="001D20D0" w:rsidRDefault="001D20D0" w14:paraId="3AB2B5BA" w14:textId="2B967959">
            <w:pPr>
              <w:pStyle w:val="Heading3"/>
            </w:pPr>
            <w:r w:rsidRPr="001D20D0">
              <w:t>Upper hourly pay quarter</w:t>
            </w:r>
          </w:p>
        </w:tc>
        <w:tc>
          <w:tcPr>
            <w:tcW w:w="3302" w:type="dxa"/>
          </w:tcPr>
          <w:p w:rsidRPr="00534731" w:rsidR="001D20D0" w:rsidP="001D20D0" w:rsidRDefault="001D20D0" w14:paraId="74F2620E" w14:textId="5C1136BD">
            <w:pPr>
              <w:pStyle w:val="Heading3"/>
              <w:rPr>
                <w:b w:val="0"/>
                <w:bCs/>
              </w:rPr>
            </w:pPr>
            <w:r w:rsidRPr="00534731">
              <w:rPr>
                <w:b w:val="0"/>
                <w:bCs/>
              </w:rPr>
              <w:t xml:space="preserve">6% Higher </w:t>
            </w:r>
          </w:p>
        </w:tc>
        <w:tc>
          <w:tcPr>
            <w:tcW w:w="3302" w:type="dxa"/>
          </w:tcPr>
          <w:p w:rsidRPr="0097443E" w:rsidR="001D20D0" w:rsidP="001D20D0" w:rsidRDefault="0097443E" w14:paraId="11A8A9DA" w14:textId="67D74476">
            <w:pPr>
              <w:pStyle w:val="Heading3"/>
              <w:rPr>
                <w:b w:val="0"/>
                <w:bCs/>
              </w:rPr>
            </w:pPr>
            <w:r w:rsidRPr="0097443E">
              <w:rPr>
                <w:b w:val="0"/>
                <w:bCs/>
              </w:rPr>
              <w:t>4.46% Lower</w:t>
            </w:r>
          </w:p>
        </w:tc>
      </w:tr>
    </w:tbl>
    <w:p w:rsidR="008C4E68" w:rsidP="008C4E68" w:rsidRDefault="008C4E68" w14:paraId="7C6FDC4E" w14:textId="77777777">
      <w:pPr>
        <w:pStyle w:val="Heading3"/>
      </w:pPr>
    </w:p>
    <w:p w:rsidR="00452587" w:rsidP="00C15827" w:rsidRDefault="00452587" w14:paraId="2A6F5A38" w14:textId="77777777">
      <w:pPr>
        <w:pStyle w:val="Heading2"/>
      </w:pPr>
    </w:p>
    <w:p w:rsidR="00452587" w:rsidP="00C15827" w:rsidRDefault="00452587" w14:paraId="43106D14" w14:textId="77777777">
      <w:pPr>
        <w:pStyle w:val="Heading2"/>
      </w:pPr>
    </w:p>
    <w:p w:rsidR="00C15827" w:rsidP="00C15827" w:rsidRDefault="0087024B" w14:paraId="1BDF67B3" w14:textId="0CE4DD74">
      <w:pPr>
        <w:pStyle w:val="Heading2"/>
      </w:pPr>
      <w:r>
        <w:lastRenderedPageBreak/>
        <w:t>Breakdown</w:t>
      </w:r>
      <w:r w:rsidR="00C15827">
        <w:t xml:space="preserve">: What these figures mean </w:t>
      </w:r>
    </w:p>
    <w:p w:rsidRPr="00792A4A" w:rsidR="00792A4A" w:rsidP="00792A4A" w:rsidRDefault="00792A4A" w14:paraId="755EEF13" w14:textId="77777777"/>
    <w:p w:rsidRPr="000F3373" w:rsidR="002C322E" w:rsidP="002C322E" w:rsidRDefault="000F3373" w14:paraId="6E0AC404" w14:textId="1F56B1A5">
      <w:pPr>
        <w:rPr>
          <w:rFonts w:ascii="Arial" w:hAnsi="Arial" w:cs="Arial"/>
          <w:b/>
          <w:bCs/>
        </w:rPr>
      </w:pPr>
      <w:bookmarkStart w:name="_Hlk38532054" w:id="1"/>
      <w:bookmarkEnd w:id="0"/>
      <w:r w:rsidRPr="000F3373">
        <w:rPr>
          <w:rFonts w:ascii="Arial" w:hAnsi="Arial" w:cs="Arial"/>
          <w:b/>
          <w:bCs/>
        </w:rPr>
        <w:t xml:space="preserve">Summary </w:t>
      </w:r>
    </w:p>
    <w:p w:rsidR="000F3373" w:rsidP="00760675" w:rsidRDefault="000F3373" w14:paraId="34B7BD78" w14:textId="77777777">
      <w:pPr>
        <w:rPr>
          <w:rFonts w:ascii="Arial" w:hAnsi="Arial" w:cs="Arial"/>
        </w:rPr>
      </w:pPr>
    </w:p>
    <w:p w:rsidRPr="00BC1F61" w:rsidR="00BC1F61" w:rsidP="00BC1F61" w:rsidRDefault="00BC1F61" w14:paraId="3B1FB5A5" w14:textId="77777777">
      <w:pPr>
        <w:rPr>
          <w:rFonts w:ascii="Arial" w:hAnsi="Arial" w:cs="Arial"/>
        </w:rPr>
      </w:pPr>
      <w:r w:rsidRPr="00BC1F61">
        <w:rPr>
          <w:rFonts w:ascii="Arial" w:hAnsi="Arial" w:cs="Arial"/>
        </w:rPr>
        <w:t>Whilst there is still work to do in closing the gap between men and women, VoiceAbility has made meaningful progress over the past year. Our overall mean gender pay gap has reduced by more than 8%, and our median gap has narrowed by over 2%. These improvements reflect the positive movement we are seeing across our organisation.</w:t>
      </w:r>
    </w:p>
    <w:p w:rsidR="00BC1F61" w:rsidP="00BC1F61" w:rsidRDefault="00BC1F61" w14:paraId="6351C61F" w14:textId="77777777">
      <w:pPr>
        <w:rPr>
          <w:rFonts w:ascii="Arial" w:hAnsi="Arial" w:cs="Arial"/>
        </w:rPr>
      </w:pPr>
    </w:p>
    <w:p w:rsidR="00BC1F61" w:rsidP="00BC1F61" w:rsidRDefault="00BC1F61" w14:paraId="4A8856E1" w14:textId="354F3127">
      <w:pPr>
        <w:rPr>
          <w:rFonts w:ascii="Arial" w:hAnsi="Arial" w:cs="Arial"/>
        </w:rPr>
      </w:pPr>
      <w:r w:rsidRPr="00BC1F61">
        <w:rPr>
          <w:rFonts w:ascii="Arial" w:hAnsi="Arial" w:cs="Arial"/>
        </w:rPr>
        <w:t>Our workforce remains predominantly female, and we are pleased to see more women than ever progressing into the upper hourly pay quartile. However, there is still a higher concentration of men in the upper quartiles, and this—combined with a slightly higher male median hourly rate—continues to keep our overall median gap at 2%.</w:t>
      </w:r>
    </w:p>
    <w:p w:rsidRPr="00BC1F61" w:rsidR="00BC1F61" w:rsidP="00BC1F61" w:rsidRDefault="00BC1F61" w14:paraId="1750D067" w14:textId="77777777">
      <w:pPr>
        <w:rPr>
          <w:rFonts w:ascii="Arial" w:hAnsi="Arial" w:cs="Arial"/>
        </w:rPr>
      </w:pPr>
    </w:p>
    <w:p w:rsidR="00580F58" w:rsidP="00BC1F61" w:rsidRDefault="00BC1F61" w14:paraId="6C17F858" w14:textId="6B79CAB4">
      <w:pPr>
        <w:rPr>
          <w:rFonts w:ascii="Arial" w:hAnsi="Arial" w:cs="Arial"/>
        </w:rPr>
      </w:pPr>
      <w:r w:rsidRPr="00BC1F61">
        <w:rPr>
          <w:rFonts w:ascii="Arial" w:hAnsi="Arial" w:cs="Arial"/>
        </w:rPr>
        <w:t>We recognise this challenge and remain committed to addressing it. Our focus is on creating a fair, transparent and equitable pay structure that supports progression for everyone, regardless of gender.</w:t>
      </w:r>
    </w:p>
    <w:p w:rsidR="00BC1F61" w:rsidP="00BC1F61" w:rsidRDefault="00BC1F61" w14:paraId="2EBD97CD" w14:textId="77777777">
      <w:pPr>
        <w:rPr>
          <w:rFonts w:ascii="Arial" w:hAnsi="Arial" w:cs="Arial"/>
        </w:rPr>
      </w:pPr>
    </w:p>
    <w:p w:rsidR="00580F58" w:rsidP="00760675" w:rsidRDefault="00590634" w14:paraId="6C143A99" w14:textId="5C569370">
      <w:pPr>
        <w:rPr>
          <w:rFonts w:ascii="Arial" w:hAnsi="Arial" w:cs="Arial"/>
          <w:b/>
          <w:bCs/>
        </w:rPr>
      </w:pPr>
      <w:r>
        <w:rPr>
          <w:rFonts w:ascii="Arial" w:hAnsi="Arial" w:cs="Arial"/>
          <w:b/>
          <w:bCs/>
        </w:rPr>
        <w:t xml:space="preserve">What’s causing the gap </w:t>
      </w:r>
    </w:p>
    <w:p w:rsidR="00580F58" w:rsidP="00760675" w:rsidRDefault="00580F58" w14:paraId="143AA4FB" w14:textId="77777777">
      <w:pPr>
        <w:rPr>
          <w:rFonts w:ascii="Arial" w:hAnsi="Arial" w:cs="Arial"/>
          <w:b/>
          <w:bCs/>
        </w:rPr>
      </w:pPr>
    </w:p>
    <w:p w:rsidR="00D151BA" w:rsidP="00D151BA" w:rsidRDefault="00D151BA" w14:paraId="516207F4" w14:textId="77777777">
      <w:pPr>
        <w:rPr>
          <w:rFonts w:ascii="Arial" w:hAnsi="Arial" w:cs="Arial"/>
        </w:rPr>
      </w:pPr>
      <w:r w:rsidRPr="00D151BA">
        <w:rPr>
          <w:rFonts w:ascii="Arial" w:hAnsi="Arial" w:cs="Arial"/>
        </w:rPr>
        <w:t>When we look at our mean figures, women are now earning more per hour than men in both the lower and upper hourly pay quartiles, with only a marginal difference remaining in the middle quartiles. This represents real progress. However, the overall mean gap is still influenced by the higher concentration of men in the upper quartiles, which continues to pull the average male hourly rate slightly higher.</w:t>
      </w:r>
    </w:p>
    <w:p w:rsidRPr="00D151BA" w:rsidR="00D151BA" w:rsidP="00D151BA" w:rsidRDefault="00D151BA" w14:paraId="2B9297E7" w14:textId="77777777">
      <w:pPr>
        <w:rPr>
          <w:rFonts w:ascii="Arial" w:hAnsi="Arial" w:cs="Arial"/>
        </w:rPr>
      </w:pPr>
    </w:p>
    <w:p w:rsidR="00D151BA" w:rsidP="00D151BA" w:rsidRDefault="00D151BA" w14:paraId="38D80BCF" w14:textId="77777777">
      <w:pPr>
        <w:rPr>
          <w:rFonts w:ascii="Arial" w:hAnsi="Arial" w:cs="Arial"/>
        </w:rPr>
      </w:pPr>
      <w:r w:rsidRPr="00D151BA">
        <w:rPr>
          <w:rFonts w:ascii="Arial" w:hAnsi="Arial" w:cs="Arial"/>
        </w:rPr>
        <w:t xml:space="preserve">Our median figures tell a similar story. Women are earning more than men in the upper and lower quartiles, and men and women are now earning equally in the middle quartiles — a positive sign of increasing balance. </w:t>
      </w:r>
      <w:proofErr w:type="gramStart"/>
      <w:r w:rsidRPr="00D151BA">
        <w:rPr>
          <w:rFonts w:ascii="Arial" w:hAnsi="Arial" w:cs="Arial"/>
        </w:rPr>
        <w:t>Yet,</w:t>
      </w:r>
      <w:proofErr w:type="gramEnd"/>
      <w:r w:rsidRPr="00D151BA">
        <w:rPr>
          <w:rFonts w:ascii="Arial" w:hAnsi="Arial" w:cs="Arial"/>
        </w:rPr>
        <w:t xml:space="preserve"> our overall median gap remains at 2%. This is largely due to the distribution of our workforce: more men sit in the upper quartiles and more women in the lower quartiles. As a result, the ‘</w:t>
      </w:r>
      <w:proofErr w:type="gramStart"/>
      <w:r w:rsidRPr="00D151BA">
        <w:rPr>
          <w:rFonts w:ascii="Arial" w:hAnsi="Arial" w:cs="Arial"/>
        </w:rPr>
        <w:t>middle man</w:t>
      </w:r>
      <w:proofErr w:type="gramEnd"/>
      <w:r w:rsidRPr="00D151BA">
        <w:rPr>
          <w:rFonts w:ascii="Arial" w:hAnsi="Arial" w:cs="Arial"/>
        </w:rPr>
        <w:t>’ is positioned higher in the pay structure than the ‘middle woman’, which keeps the median gap open.</w:t>
      </w:r>
    </w:p>
    <w:p w:rsidRPr="00D151BA" w:rsidR="00D151BA" w:rsidP="00D151BA" w:rsidRDefault="00D151BA" w14:paraId="1BB4BB8B" w14:textId="77777777">
      <w:pPr>
        <w:rPr>
          <w:rFonts w:ascii="Arial" w:hAnsi="Arial" w:cs="Arial"/>
        </w:rPr>
      </w:pPr>
    </w:p>
    <w:p w:rsidR="00D151BA" w:rsidP="00D151BA" w:rsidRDefault="00D151BA" w14:paraId="5349DAD1" w14:textId="77777777">
      <w:pPr>
        <w:rPr>
          <w:rFonts w:ascii="Arial" w:hAnsi="Arial" w:cs="Arial"/>
        </w:rPr>
      </w:pPr>
      <w:r w:rsidRPr="00D151BA">
        <w:rPr>
          <w:rFonts w:ascii="Arial" w:hAnsi="Arial" w:cs="Arial"/>
        </w:rPr>
        <w:t>While these figures highlight where the gap exists, they do not explain why. By looking more closely at our data, we can see that one of the key drivers is length of service. On average, male colleagues have been with VoiceAbility longer than female colleagues. Historically, our pay structure has been linked to length of service, meaning longer</w:t>
      </w:r>
      <w:r w:rsidRPr="00D151BA">
        <w:rPr>
          <w:rFonts w:ascii="Cambria Math" w:hAnsi="Cambria Math" w:cs="Cambria Math"/>
        </w:rPr>
        <w:t>‑</w:t>
      </w:r>
      <w:r w:rsidRPr="00D151BA">
        <w:rPr>
          <w:rFonts w:ascii="Arial" w:hAnsi="Arial" w:cs="Arial"/>
        </w:rPr>
        <w:t>serving male colleagues have had greater opportunity to progress through the pay scale, while women — who typically have shorter average service — have not yet reached the same point.</w:t>
      </w:r>
    </w:p>
    <w:p w:rsidRPr="00D151BA" w:rsidR="00D151BA" w:rsidP="00D151BA" w:rsidRDefault="00D151BA" w14:paraId="285C7238" w14:textId="77777777">
      <w:pPr>
        <w:rPr>
          <w:rFonts w:ascii="Arial" w:hAnsi="Arial" w:cs="Arial"/>
        </w:rPr>
      </w:pPr>
    </w:p>
    <w:p w:rsidR="00D45B9D" w:rsidP="00D151BA" w:rsidRDefault="00D151BA" w14:paraId="03C0E465" w14:textId="535C5CDD">
      <w:pPr>
        <w:rPr>
          <w:rFonts w:ascii="Arial" w:hAnsi="Arial" w:cs="Arial"/>
        </w:rPr>
      </w:pPr>
      <w:r w:rsidRPr="00D151BA">
        <w:rPr>
          <w:rFonts w:ascii="Arial" w:hAnsi="Arial" w:cs="Arial"/>
        </w:rPr>
        <w:t>This insight does not excuse the gap, but it does help us understand it — and, importantly, it gives us a clear area to focus on as we continue our work to create a fairer and more equitable pay structure for everyone.</w:t>
      </w:r>
    </w:p>
    <w:p w:rsidR="00D151BA" w:rsidP="00D151BA" w:rsidRDefault="00D151BA" w14:paraId="16EA2E52" w14:textId="77777777">
      <w:pPr>
        <w:rPr>
          <w:rFonts w:ascii="Arial" w:hAnsi="Arial" w:cs="Arial"/>
        </w:rPr>
      </w:pPr>
    </w:p>
    <w:tbl>
      <w:tblPr>
        <w:tblStyle w:val="TableGrid"/>
        <w:tblW w:w="0" w:type="auto"/>
        <w:tblLook w:val="04A0" w:firstRow="1" w:lastRow="0" w:firstColumn="1" w:lastColumn="0" w:noHBand="0" w:noVBand="1"/>
      </w:tblPr>
      <w:tblGrid>
        <w:gridCol w:w="3301"/>
        <w:gridCol w:w="3302"/>
      </w:tblGrid>
      <w:tr w:rsidR="003607EF" w:rsidTr="003607EF" w14:paraId="06346B55" w14:textId="77777777">
        <w:tc>
          <w:tcPr>
            <w:tcW w:w="3301" w:type="dxa"/>
            <w:shd w:val="clear" w:color="auto" w:fill="4F2256"/>
          </w:tcPr>
          <w:p w:rsidRPr="003607EF" w:rsidR="003607EF" w:rsidP="00760675" w:rsidRDefault="003607EF" w14:paraId="5A52792D" w14:textId="0CB866B9">
            <w:pPr>
              <w:rPr>
                <w:rFonts w:ascii="Arial" w:hAnsi="Arial" w:cs="Arial"/>
                <w:b/>
                <w:bCs/>
              </w:rPr>
            </w:pPr>
            <w:r w:rsidRPr="003607EF">
              <w:rPr>
                <w:rFonts w:ascii="Arial" w:hAnsi="Arial" w:cs="Arial"/>
                <w:b/>
                <w:bCs/>
              </w:rPr>
              <w:t xml:space="preserve">Length of service </w:t>
            </w:r>
          </w:p>
        </w:tc>
        <w:tc>
          <w:tcPr>
            <w:tcW w:w="3302" w:type="dxa"/>
            <w:shd w:val="clear" w:color="auto" w:fill="4F2256"/>
          </w:tcPr>
          <w:p w:rsidRPr="003607EF" w:rsidR="003607EF" w:rsidP="00760675" w:rsidRDefault="003607EF" w14:paraId="28FF9176" w14:textId="57771BD5">
            <w:pPr>
              <w:rPr>
                <w:rFonts w:ascii="Arial" w:hAnsi="Arial" w:cs="Arial"/>
                <w:b/>
                <w:bCs/>
              </w:rPr>
            </w:pPr>
            <w:r w:rsidRPr="003607EF">
              <w:rPr>
                <w:rFonts w:ascii="Arial" w:hAnsi="Arial" w:cs="Arial"/>
                <w:b/>
                <w:bCs/>
              </w:rPr>
              <w:t xml:space="preserve">Years </w:t>
            </w:r>
          </w:p>
        </w:tc>
      </w:tr>
      <w:tr w:rsidR="003607EF" w:rsidTr="00D45B9D" w14:paraId="57A63B24" w14:textId="77777777">
        <w:tc>
          <w:tcPr>
            <w:tcW w:w="3301" w:type="dxa"/>
          </w:tcPr>
          <w:p w:rsidR="003607EF" w:rsidP="00760675" w:rsidRDefault="003607EF" w14:paraId="2406593F" w14:textId="3D92BC00">
            <w:pPr>
              <w:rPr>
                <w:rFonts w:ascii="Arial" w:hAnsi="Arial" w:cs="Arial"/>
              </w:rPr>
            </w:pPr>
            <w:r>
              <w:rPr>
                <w:rFonts w:ascii="Arial" w:hAnsi="Arial" w:cs="Arial"/>
              </w:rPr>
              <w:t>Average length of service for men</w:t>
            </w:r>
          </w:p>
        </w:tc>
        <w:tc>
          <w:tcPr>
            <w:tcW w:w="3302" w:type="dxa"/>
          </w:tcPr>
          <w:p w:rsidR="003607EF" w:rsidP="00760675" w:rsidRDefault="003607EF" w14:paraId="229A96A9" w14:textId="64957D66">
            <w:pPr>
              <w:rPr>
                <w:rFonts w:ascii="Arial" w:hAnsi="Arial" w:cs="Arial"/>
              </w:rPr>
            </w:pPr>
            <w:r>
              <w:rPr>
                <w:rFonts w:ascii="Arial" w:hAnsi="Arial" w:cs="Arial"/>
              </w:rPr>
              <w:t>3.74</w:t>
            </w:r>
          </w:p>
        </w:tc>
      </w:tr>
      <w:tr w:rsidR="003607EF" w:rsidTr="00D45B9D" w14:paraId="3586EEB9" w14:textId="77777777">
        <w:tc>
          <w:tcPr>
            <w:tcW w:w="3301" w:type="dxa"/>
          </w:tcPr>
          <w:p w:rsidR="003607EF" w:rsidP="00760675" w:rsidRDefault="003607EF" w14:paraId="1F37C1B3" w14:textId="6D535DAA">
            <w:pPr>
              <w:rPr>
                <w:rFonts w:ascii="Arial" w:hAnsi="Arial" w:cs="Arial"/>
              </w:rPr>
            </w:pPr>
            <w:r>
              <w:rPr>
                <w:rFonts w:ascii="Arial" w:hAnsi="Arial" w:cs="Arial"/>
              </w:rPr>
              <w:t xml:space="preserve">Average length of service for women </w:t>
            </w:r>
          </w:p>
        </w:tc>
        <w:tc>
          <w:tcPr>
            <w:tcW w:w="3302" w:type="dxa"/>
          </w:tcPr>
          <w:p w:rsidR="003607EF" w:rsidP="00760675" w:rsidRDefault="003607EF" w14:paraId="390EBFE7" w14:textId="44A05E5B">
            <w:pPr>
              <w:rPr>
                <w:rFonts w:ascii="Arial" w:hAnsi="Arial" w:cs="Arial"/>
              </w:rPr>
            </w:pPr>
            <w:r>
              <w:rPr>
                <w:rFonts w:ascii="Arial" w:hAnsi="Arial" w:cs="Arial"/>
              </w:rPr>
              <w:t>2.64</w:t>
            </w:r>
          </w:p>
        </w:tc>
      </w:tr>
      <w:tr w:rsidR="003607EF" w:rsidTr="00D45B9D" w14:paraId="18D74A63" w14:textId="77777777">
        <w:tc>
          <w:tcPr>
            <w:tcW w:w="3301" w:type="dxa"/>
          </w:tcPr>
          <w:p w:rsidR="003607EF" w:rsidP="00760675" w:rsidRDefault="003607EF" w14:paraId="1480F1F9" w14:textId="1B00E75E">
            <w:pPr>
              <w:rPr>
                <w:rFonts w:ascii="Arial" w:hAnsi="Arial" w:cs="Arial"/>
              </w:rPr>
            </w:pPr>
            <w:r>
              <w:rPr>
                <w:rFonts w:ascii="Arial" w:hAnsi="Arial" w:cs="Arial"/>
              </w:rPr>
              <w:t xml:space="preserve">Percentage difference </w:t>
            </w:r>
          </w:p>
        </w:tc>
        <w:tc>
          <w:tcPr>
            <w:tcW w:w="3302" w:type="dxa"/>
          </w:tcPr>
          <w:p w:rsidR="003607EF" w:rsidP="00760675" w:rsidRDefault="003607EF" w14:paraId="31CF8ADD" w14:textId="12011A49">
            <w:pPr>
              <w:rPr>
                <w:rFonts w:ascii="Arial" w:hAnsi="Arial" w:cs="Arial"/>
              </w:rPr>
            </w:pPr>
            <w:r>
              <w:rPr>
                <w:rFonts w:ascii="Arial" w:hAnsi="Arial" w:cs="Arial"/>
              </w:rPr>
              <w:t xml:space="preserve">29% lower </w:t>
            </w:r>
          </w:p>
        </w:tc>
      </w:tr>
    </w:tbl>
    <w:p w:rsidR="00F96E53" w:rsidP="00760675" w:rsidRDefault="00F96E53" w14:paraId="79257754" w14:textId="77777777">
      <w:pPr>
        <w:rPr>
          <w:rFonts w:ascii="Arial" w:hAnsi="Arial" w:cs="Arial"/>
          <w:b/>
          <w:bCs/>
        </w:rPr>
      </w:pPr>
    </w:p>
    <w:p w:rsidRPr="00A334A2" w:rsidR="00F96E53" w:rsidP="00A334A2" w:rsidRDefault="00F96E53" w14:paraId="4D0393F0" w14:textId="77777777">
      <w:pPr>
        <w:pStyle w:val="Heading2"/>
      </w:pPr>
    </w:p>
    <w:p w:rsidRPr="00A334A2" w:rsidR="00F96E53" w:rsidP="00A334A2" w:rsidRDefault="00F96E53" w14:paraId="0219E23F" w14:textId="35B3048E">
      <w:pPr>
        <w:pStyle w:val="Heading2"/>
      </w:pPr>
      <w:r w:rsidRPr="00A334A2">
        <w:t>Successes</w:t>
      </w:r>
    </w:p>
    <w:p w:rsidR="00BB455C" w:rsidP="00760675" w:rsidRDefault="00BB455C" w14:paraId="06BA7A4B" w14:textId="77777777">
      <w:pPr>
        <w:rPr>
          <w:rFonts w:ascii="Arial" w:hAnsi="Arial" w:cs="Arial"/>
          <w:b/>
          <w:bCs/>
        </w:rPr>
      </w:pPr>
    </w:p>
    <w:p w:rsidRPr="00580393" w:rsidR="00580393" w:rsidP="00580393" w:rsidRDefault="00580393" w14:paraId="2DC12BB7" w14:textId="04B3331F">
      <w:pPr>
        <w:pStyle w:val="ListParagraph"/>
        <w:numPr>
          <w:ilvl w:val="0"/>
          <w:numId w:val="8"/>
        </w:numPr>
      </w:pPr>
      <w:r w:rsidRPr="00580393">
        <w:t>Our mean gender pay gap has reduced by 8.22 percentage points, reflecting a strong shift toward greater pay equality across the organisation.</w:t>
      </w:r>
    </w:p>
    <w:p w:rsidRPr="00580393" w:rsidR="00580393" w:rsidP="00580393" w:rsidRDefault="00580393" w14:paraId="66B6DDE6" w14:textId="2D7D9620">
      <w:pPr>
        <w:pStyle w:val="ListParagraph"/>
        <w:numPr>
          <w:ilvl w:val="0"/>
          <w:numId w:val="8"/>
        </w:numPr>
      </w:pPr>
      <w:r w:rsidRPr="00580393">
        <w:t>Our median gender pay gap has narrowed by 2.02 percentage points, demonstrating continued progress in balancing pay at the midpoint of our workforce.</w:t>
      </w:r>
    </w:p>
    <w:p w:rsidRPr="00580393" w:rsidR="00580393" w:rsidP="00580393" w:rsidRDefault="00580393" w14:paraId="106BB944" w14:textId="5C688903">
      <w:pPr>
        <w:pStyle w:val="ListParagraph"/>
        <w:numPr>
          <w:ilvl w:val="0"/>
          <w:numId w:val="8"/>
        </w:numPr>
      </w:pPr>
      <w:r w:rsidRPr="00580393">
        <w:t>We now have a stronger distribution of women in more senior and higher</w:t>
      </w:r>
      <w:r w:rsidRPr="00580393">
        <w:rPr>
          <w:rFonts w:ascii="Cambria Math" w:hAnsi="Cambria Math" w:cs="Cambria Math"/>
        </w:rPr>
        <w:t>‑</w:t>
      </w:r>
      <w:r w:rsidRPr="00580393">
        <w:t>paid roles, showing positive movement in career progression and representation.</w:t>
      </w:r>
    </w:p>
    <w:p w:rsidRPr="00580393" w:rsidR="00F96E53" w:rsidP="00580393" w:rsidRDefault="00580393" w14:paraId="570AE6D9" w14:textId="3A40AEE7">
      <w:pPr>
        <w:pStyle w:val="ListParagraph"/>
        <w:numPr>
          <w:ilvl w:val="0"/>
          <w:numId w:val="8"/>
        </w:numPr>
        <w:rPr>
          <w:b/>
          <w:bCs/>
        </w:rPr>
      </w:pPr>
      <w:r w:rsidRPr="00580393">
        <w:t>There is no median pay disparity in the middle quartiles, highlighting that men and women are now paid equally at the core of our pay structure.</w:t>
      </w:r>
    </w:p>
    <w:p w:rsidR="00C30B95" w:rsidP="00C30B95" w:rsidRDefault="00C30B95" w14:paraId="03B5BB56" w14:textId="77777777">
      <w:pPr>
        <w:rPr>
          <w:rFonts w:ascii="Arial" w:hAnsi="Arial" w:cs="Arial"/>
          <w:b/>
          <w:bCs/>
        </w:rPr>
      </w:pPr>
    </w:p>
    <w:p w:rsidR="00C30B95" w:rsidP="00C30B95" w:rsidRDefault="00C30B95" w14:paraId="585D0DAF" w14:textId="77777777">
      <w:pPr>
        <w:rPr>
          <w:rFonts w:ascii="Arial" w:hAnsi="Arial" w:cs="Arial"/>
          <w:b/>
          <w:bCs/>
        </w:rPr>
      </w:pPr>
    </w:p>
    <w:p w:rsidR="00C30B95" w:rsidP="00C30B95" w:rsidRDefault="00C30B95" w14:paraId="0FCDE1E2" w14:textId="77777777">
      <w:pPr>
        <w:rPr>
          <w:rFonts w:ascii="Arial" w:hAnsi="Arial" w:cs="Arial"/>
          <w:b/>
          <w:bCs/>
        </w:rPr>
      </w:pPr>
    </w:p>
    <w:p w:rsidRPr="00A334A2" w:rsidR="00F96E53" w:rsidP="00A334A2" w:rsidRDefault="00EF7ACA" w14:paraId="32D5C0F6" w14:textId="04E2E73E">
      <w:pPr>
        <w:pStyle w:val="Heading2"/>
      </w:pPr>
      <w:r w:rsidRPr="00A334A2">
        <w:t xml:space="preserve">Next Steps </w:t>
      </w:r>
    </w:p>
    <w:p w:rsidR="00C30B95" w:rsidP="00760675" w:rsidRDefault="00C30B95" w14:paraId="5D6581A9" w14:textId="77777777">
      <w:pPr>
        <w:rPr>
          <w:rFonts w:ascii="Arial" w:hAnsi="Arial" w:cs="Arial"/>
          <w:b/>
          <w:bCs/>
        </w:rPr>
      </w:pPr>
    </w:p>
    <w:p w:rsidRPr="00B9716D" w:rsidR="00EA11DE" w:rsidP="00B9716D" w:rsidRDefault="00EA11DE" w14:paraId="682958FD" w14:textId="44C9793F">
      <w:pPr>
        <w:pStyle w:val="ListParagraph"/>
        <w:numPr>
          <w:ilvl w:val="0"/>
          <w:numId w:val="11"/>
        </w:numPr>
      </w:pPr>
      <w:r w:rsidRPr="00B9716D">
        <w:t>We will continue to strengthen pay progression for women in the lower quartiles, ensuring that opportunities for development and advancement are accessible and equitable across all levels of the organisation.</w:t>
      </w:r>
    </w:p>
    <w:p w:rsidRPr="00B9716D" w:rsidR="00EA11DE" w:rsidP="00B9716D" w:rsidRDefault="00EA11DE" w14:paraId="1547D59A" w14:textId="47F00D8E">
      <w:pPr>
        <w:pStyle w:val="ListParagraph"/>
        <w:numPr>
          <w:ilvl w:val="0"/>
          <w:numId w:val="11"/>
        </w:numPr>
        <w:rPr/>
      </w:pPr>
      <w:r w:rsidR="00EA11DE">
        <w:rPr/>
        <w:t>We aim to increase the representation of women in the upper quartile, supporting more women to progress into senior and higher</w:t>
      </w:r>
      <w:r w:rsidRPr="18C86896" w:rsidR="00EA11DE">
        <w:rPr>
          <w:rFonts w:ascii="Cambria Math" w:hAnsi="Cambria Math" w:cs="Cambria Math"/>
        </w:rPr>
        <w:t>‑</w:t>
      </w:r>
      <w:r w:rsidR="00EA11DE">
        <w:rPr/>
        <w:t xml:space="preserve">paid roles through targeted development, career </w:t>
      </w:r>
      <w:r w:rsidR="00EA11DE">
        <w:rPr/>
        <w:t>pathways</w:t>
      </w:r>
      <w:r w:rsidR="00EA11DE">
        <w:rPr/>
        <w:t xml:space="preserve"> and fair recruitment practices.</w:t>
      </w:r>
    </w:p>
    <w:p w:rsidRPr="00B9716D" w:rsidR="00EF7ACA" w:rsidP="00B9716D" w:rsidRDefault="00EA11DE" w14:paraId="001646EE" w14:textId="2D40ACC8">
      <w:pPr>
        <w:pStyle w:val="ListParagraph"/>
        <w:numPr>
          <w:ilvl w:val="0"/>
          <w:numId w:val="11"/>
        </w:numPr>
      </w:pPr>
      <w:r w:rsidRPr="00B9716D">
        <w:t>We have identified length of service as a key factor influencing our gender pay gap, with male colleagues currently having a higher average tenure. This has historically enabled greater progression through our pay structure. Understanding this gives us a clear opportunity: to explore ways of improving average length of service for women, strengthening retention, and ensuring that progression is based on fair and transparent criteria.</w:t>
      </w:r>
    </w:p>
    <w:p w:rsidR="00EA11DE" w:rsidP="00EA11DE" w:rsidRDefault="00EA11DE" w14:paraId="63462C07" w14:textId="77777777">
      <w:pPr>
        <w:rPr>
          <w:rFonts w:ascii="Arial" w:hAnsi="Arial" w:cs="Arial"/>
        </w:rPr>
      </w:pPr>
    </w:p>
    <w:p w:rsidR="0094787D" w:rsidRDefault="0094787D" w14:paraId="1675BD88" w14:textId="14D26CBF">
      <w:pPr>
        <w:rPr>
          <w:rFonts w:ascii="Arial" w:hAnsi="Arial" w:cs="Arial"/>
        </w:rPr>
      </w:pPr>
      <w:r>
        <w:rPr>
          <w:rFonts w:ascii="Arial" w:hAnsi="Arial" w:cs="Arial"/>
        </w:rPr>
        <w:br w:type="page"/>
      </w:r>
    </w:p>
    <w:p w:rsidR="00EA11DE" w:rsidP="00EA11DE" w:rsidRDefault="00EA11DE" w14:paraId="67A29B26" w14:textId="77777777">
      <w:pPr>
        <w:rPr>
          <w:rFonts w:ascii="Arial" w:hAnsi="Arial" w:cs="Arial"/>
          <w:b/>
          <w:bCs/>
        </w:rPr>
      </w:pPr>
    </w:p>
    <w:p w:rsidRPr="001B3D71" w:rsidR="00EF7ACA" w:rsidP="00A334A2" w:rsidRDefault="00EF7ACA" w14:paraId="6393CC33" w14:textId="5EE9D39E">
      <w:pPr>
        <w:pStyle w:val="Heading1"/>
      </w:pPr>
      <w:r w:rsidRPr="001B3D71">
        <w:t xml:space="preserve">Conclusion </w:t>
      </w:r>
    </w:p>
    <w:p w:rsidR="00864756" w:rsidP="00864756" w:rsidRDefault="00864756" w14:paraId="451C82B0" w14:textId="77777777">
      <w:pPr>
        <w:rPr>
          <w:rFonts w:ascii="Arial Black" w:hAnsi="Arial Black"/>
        </w:rPr>
      </w:pPr>
    </w:p>
    <w:p w:rsidR="00864756" w:rsidP="00864756" w:rsidRDefault="00864756" w14:paraId="364FF1D8" w14:textId="05C080DE">
      <w:pPr>
        <w:rPr>
          <w:rFonts w:ascii="Arial" w:hAnsi="Arial" w:cs="Arial"/>
        </w:rPr>
      </w:pPr>
      <w:r w:rsidRPr="00864756">
        <w:rPr>
          <w:rFonts w:ascii="Arial" w:hAnsi="Arial" w:cs="Arial"/>
        </w:rPr>
        <w:t>At VoiceAbility, we are proud of the meaningful progress we have made in closing the gender pay gap over the past 12 months. This year marks a turning point: we are moving with purpose toward a future where pay is driven by experience, skill and contribution — never by gender.</w:t>
      </w:r>
    </w:p>
    <w:p w:rsidRPr="00864756" w:rsidR="00864756" w:rsidP="00864756" w:rsidRDefault="00864756" w14:paraId="1A86D096" w14:textId="77777777">
      <w:pPr>
        <w:rPr>
          <w:rFonts w:ascii="Arial" w:hAnsi="Arial" w:cs="Arial"/>
        </w:rPr>
      </w:pPr>
    </w:p>
    <w:p w:rsidR="00864756" w:rsidP="00864756" w:rsidRDefault="00864756" w14:paraId="33FDC948" w14:textId="77777777">
      <w:pPr>
        <w:rPr>
          <w:rFonts w:ascii="Arial" w:hAnsi="Arial" w:cs="Arial"/>
        </w:rPr>
      </w:pPr>
      <w:r w:rsidRPr="00864756">
        <w:rPr>
          <w:rFonts w:ascii="Arial" w:hAnsi="Arial" w:cs="Arial"/>
        </w:rPr>
        <w:t>Our commitment to fairness runs deeper than numbers. We have strengthened the foundations needed for long</w:t>
      </w:r>
      <w:r w:rsidRPr="00864756">
        <w:rPr>
          <w:rFonts w:ascii="Cambria Math" w:hAnsi="Cambria Math" w:cs="Cambria Math"/>
        </w:rPr>
        <w:t>‑</w:t>
      </w:r>
      <w:r w:rsidRPr="00864756">
        <w:rPr>
          <w:rFonts w:ascii="Arial" w:hAnsi="Arial" w:cs="Arial"/>
        </w:rPr>
        <w:t>term equality, investing in better data, clearer processes and a culture that recognises and rewards talent wherever it is found. These changes are already making a difference, and they reflect the values we stand for as an organisation.</w:t>
      </w:r>
    </w:p>
    <w:p w:rsidRPr="00864756" w:rsidR="00864756" w:rsidP="00864756" w:rsidRDefault="00864756" w14:paraId="1BBE4FAD" w14:textId="77777777">
      <w:pPr>
        <w:rPr>
          <w:rFonts w:ascii="Arial" w:hAnsi="Arial" w:cs="Arial"/>
        </w:rPr>
      </w:pPr>
    </w:p>
    <w:p w:rsidR="00864756" w:rsidP="00864756" w:rsidRDefault="00864756" w14:paraId="2A1F9285" w14:textId="77777777">
      <w:pPr>
        <w:rPr>
          <w:rFonts w:ascii="Arial" w:hAnsi="Arial" w:cs="Arial"/>
        </w:rPr>
      </w:pPr>
      <w:r w:rsidRPr="00864756">
        <w:rPr>
          <w:rFonts w:ascii="Arial" w:hAnsi="Arial" w:cs="Arial"/>
        </w:rPr>
        <w:t>We know there is still more to do, and we embrace that challenge. Our focus now is on building momentum — continuing to refine our practices, listening to our colleagues and using our insights to drive meaningful, lasting change.</w:t>
      </w:r>
    </w:p>
    <w:p w:rsidRPr="00864756" w:rsidR="00864756" w:rsidP="00864756" w:rsidRDefault="00864756" w14:paraId="705249C9" w14:textId="77777777">
      <w:pPr>
        <w:rPr>
          <w:rFonts w:ascii="Arial" w:hAnsi="Arial" w:cs="Arial"/>
        </w:rPr>
      </w:pPr>
    </w:p>
    <w:p w:rsidRPr="00864756" w:rsidR="00760675" w:rsidP="00864756" w:rsidRDefault="00864756" w14:paraId="3284E266" w14:textId="1844B71C">
      <w:pPr>
        <w:rPr>
          <w:rFonts w:ascii="Arial" w:hAnsi="Arial" w:cs="Arial"/>
        </w:rPr>
      </w:pPr>
      <w:r w:rsidRPr="00864756">
        <w:rPr>
          <w:rFonts w:ascii="Arial" w:hAnsi="Arial" w:cs="Arial"/>
        </w:rPr>
        <w:t>We look forward to sharing further progress in the year ahead as we continue our journey toward true pay equality and a workplace where everyone can thrive.</w:t>
      </w:r>
      <w:bookmarkEnd w:id="1"/>
    </w:p>
    <w:sectPr w:rsidRPr="00864756" w:rsidR="00760675" w:rsidSect="00897C84">
      <w:headerReference w:type="even" r:id="rId12"/>
      <w:headerReference w:type="default" r:id="rId13"/>
      <w:footerReference w:type="even" r:id="rId14"/>
      <w:footerReference w:type="default" r:id="rId15"/>
      <w:pgSz w:w="11900" w:h="16840" w:orient="portrait"/>
      <w:pgMar w:top="1276" w:right="851" w:bottom="1276" w:left="1134" w:header="0" w:footer="41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E91" w:rsidP="00C0462D" w:rsidRDefault="00496E91" w14:paraId="49342134" w14:textId="77777777">
      <w:r>
        <w:separator/>
      </w:r>
    </w:p>
  </w:endnote>
  <w:endnote w:type="continuationSeparator" w:id="0">
    <w:p w:rsidR="00496E91" w:rsidP="00C0462D" w:rsidRDefault="00496E91" w14:paraId="161D8DA7" w14:textId="77777777">
      <w:r>
        <w:continuationSeparator/>
      </w:r>
    </w:p>
  </w:endnote>
  <w:endnote w:type="continuationNotice" w:id="1">
    <w:p w:rsidR="00496E91" w:rsidRDefault="00496E91" w14:paraId="730B9FF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swiss"/>
    <w:notTrueType/>
    <w:pitch w:val="variable"/>
    <w:sig w:usb0="E1000AEF" w:usb1="5000A1FF" w:usb2="00000000" w:usb3="00000000" w:csb0="000001B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293" w:rsidRDefault="00496E91" w14:paraId="1E2F9E56" w14:textId="77777777">
    <w:pPr>
      <w:pStyle w:val="Footer"/>
    </w:pPr>
    <w:sdt>
      <w:sdtPr>
        <w:id w:val="5786214"/>
        <w:temporary/>
        <w:showingPlcHdr/>
      </w:sdtPr>
      <w:sdtEndPr/>
      <w:sdtContent>
        <w:r w:rsidR="008D6293">
          <w:t>[Type text]</w:t>
        </w:r>
      </w:sdtContent>
    </w:sdt>
    <w:r w:rsidR="008D6293">
      <w:ptab w:alignment="center" w:relativeTo="margin" w:leader="none"/>
    </w:r>
    <w:sdt>
      <w:sdtPr>
        <w:id w:val="5786215"/>
        <w:temporary/>
        <w:showingPlcHdr/>
      </w:sdtPr>
      <w:sdtEndPr/>
      <w:sdtContent>
        <w:r w:rsidR="008D6293">
          <w:t>[Type text]</w:t>
        </w:r>
      </w:sdtContent>
    </w:sdt>
    <w:r w:rsidR="008D6293">
      <w:ptab w:alignment="right" w:relativeTo="margin" w:leader="none"/>
    </w:r>
    <w:sdt>
      <w:sdtPr>
        <w:id w:val="5786216"/>
        <w:temporary/>
        <w:showingPlcHdr/>
      </w:sdtPr>
      <w:sdtEndPr/>
      <w:sdtContent>
        <w:r w:rsidR="008D629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452182"/>
      <w:docPartObj>
        <w:docPartGallery w:val="Page Numbers (Bottom of Page)"/>
        <w:docPartUnique/>
      </w:docPartObj>
    </w:sdtPr>
    <w:sdtEndPr>
      <w:rPr>
        <w:rStyle w:val="Heading4Char"/>
        <w:rFonts w:ascii="Arial" w:hAnsi="Arial" w:cs="Arial"/>
      </w:rPr>
    </w:sdtEndPr>
    <w:sdtContent>
      <w:p w:rsidRPr="00897C84" w:rsidR="00897C84" w:rsidRDefault="00897C84" w14:paraId="7DA1266D" w14:textId="77777777">
        <w:pPr>
          <w:pStyle w:val="Footer"/>
          <w:jc w:val="right"/>
          <w:rPr>
            <w:rStyle w:val="Heading4Char"/>
          </w:rPr>
        </w:pPr>
        <w:r w:rsidRPr="00897C84">
          <w:rPr>
            <w:rStyle w:val="Heading4Char"/>
          </w:rPr>
          <w:fldChar w:fldCharType="begin"/>
        </w:r>
        <w:r w:rsidRPr="00897C84">
          <w:rPr>
            <w:rStyle w:val="Heading4Char"/>
          </w:rPr>
          <w:instrText xml:space="preserve"> PAGE   \* MERGEFORMAT </w:instrText>
        </w:r>
        <w:r w:rsidRPr="00897C84">
          <w:rPr>
            <w:rStyle w:val="Heading4Char"/>
          </w:rPr>
          <w:fldChar w:fldCharType="separate"/>
        </w:r>
        <w:r w:rsidRPr="00897C84">
          <w:rPr>
            <w:rStyle w:val="Heading4Char"/>
          </w:rPr>
          <w:t>2</w:t>
        </w:r>
        <w:r w:rsidRPr="00897C84">
          <w:rPr>
            <w:rStyle w:val="Heading4Char"/>
          </w:rPr>
          <w:fldChar w:fldCharType="end"/>
        </w:r>
      </w:p>
    </w:sdtContent>
  </w:sdt>
  <w:p w:rsidR="008D6293" w:rsidP="00C44D72" w:rsidRDefault="008D6293" w14:paraId="2A4C14D1" w14:textId="77777777">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E91" w:rsidP="00C0462D" w:rsidRDefault="00496E91" w14:paraId="73E75CFE" w14:textId="77777777">
      <w:r>
        <w:separator/>
      </w:r>
    </w:p>
  </w:footnote>
  <w:footnote w:type="continuationSeparator" w:id="0">
    <w:p w:rsidR="00496E91" w:rsidP="00C0462D" w:rsidRDefault="00496E91" w14:paraId="051DA061" w14:textId="77777777">
      <w:r>
        <w:continuationSeparator/>
      </w:r>
    </w:p>
  </w:footnote>
  <w:footnote w:type="continuationNotice" w:id="1">
    <w:p w:rsidR="00496E91" w:rsidRDefault="00496E91" w14:paraId="44E42CC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293" w:rsidRDefault="00496E91" w14:paraId="0F403A22" w14:textId="77777777">
    <w:pPr>
      <w:pStyle w:val="Header"/>
    </w:pPr>
    <w:sdt>
      <w:sdtPr>
        <w:id w:val="5786211"/>
        <w:temporary/>
        <w:showingPlcHdr/>
      </w:sdtPr>
      <w:sdtEndPr/>
      <w:sdtContent>
        <w:r w:rsidR="008D6293">
          <w:t>[Type text]</w:t>
        </w:r>
      </w:sdtContent>
    </w:sdt>
    <w:r w:rsidR="008D6293">
      <w:ptab w:alignment="center" w:relativeTo="margin" w:leader="none"/>
    </w:r>
    <w:sdt>
      <w:sdtPr>
        <w:id w:val="5786212"/>
        <w:temporary/>
        <w:showingPlcHdr/>
      </w:sdtPr>
      <w:sdtEndPr/>
      <w:sdtContent>
        <w:r w:rsidR="008D6293">
          <w:t>[Type text]</w:t>
        </w:r>
      </w:sdtContent>
    </w:sdt>
    <w:r w:rsidR="008D6293">
      <w:ptab w:alignment="right" w:relativeTo="margin" w:leader="none"/>
    </w:r>
    <w:sdt>
      <w:sdtPr>
        <w:id w:val="5786213"/>
        <w:temporary/>
        <w:showingPlcHdr/>
      </w:sdtPr>
      <w:sdtEndPr/>
      <w:sdtContent>
        <w:r w:rsidR="008D6293">
          <w:t>[Type text]</w:t>
        </w:r>
      </w:sdtContent>
    </w:sdt>
  </w:p>
  <w:p w:rsidR="008D6293" w:rsidRDefault="008D6293" w14:paraId="2E02D4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293" w:rsidP="00343A7D" w:rsidRDefault="008D6293" w14:paraId="0417B437" w14:textId="77777777">
    <w:pPr>
      <w:pStyle w:val="Header"/>
      <w:ind w:left="-1134"/>
    </w:pPr>
  </w:p>
  <w:p w:rsidR="00195849" w:rsidP="00C44D72" w:rsidRDefault="00195849" w14:paraId="1C6966FE" w14:textId="77777777">
    <w:pPr>
      <w:pStyle w:val="Header"/>
    </w:pPr>
  </w:p>
  <w:p w:rsidR="00195849" w:rsidP="00C44D72" w:rsidRDefault="00195849" w14:paraId="12A0DCE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376D"/>
    <w:multiLevelType w:val="hybridMultilevel"/>
    <w:tmpl w:val="7952BC86"/>
    <w:lvl w:ilvl="0" w:tplc="ECA05810">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E74AA"/>
    <w:multiLevelType w:val="hybridMultilevel"/>
    <w:tmpl w:val="D47AF2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494D90"/>
    <w:multiLevelType w:val="hybridMultilevel"/>
    <w:tmpl w:val="1ABE493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31123E70"/>
    <w:multiLevelType w:val="hybridMultilevel"/>
    <w:tmpl w:val="D2E06064"/>
    <w:lvl w:ilvl="0" w:tplc="987C7AFE">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95D56B0"/>
    <w:multiLevelType w:val="hybridMultilevel"/>
    <w:tmpl w:val="C8145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A0F1A40"/>
    <w:multiLevelType w:val="hybridMultilevel"/>
    <w:tmpl w:val="6F3A9F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C4957EB"/>
    <w:multiLevelType w:val="hybridMultilevel"/>
    <w:tmpl w:val="3B5205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E2058B6"/>
    <w:multiLevelType w:val="hybridMultilevel"/>
    <w:tmpl w:val="8F66AA2E"/>
    <w:lvl w:ilvl="0" w:tplc="2BBADF5C">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8B43B78"/>
    <w:multiLevelType w:val="hybridMultilevel"/>
    <w:tmpl w:val="309C3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A9E4A0A"/>
    <w:multiLevelType w:val="multilevel"/>
    <w:tmpl w:val="582E7202"/>
    <w:lvl w:ilvl="0">
      <w:start w:val="1"/>
      <w:numFmt w:val="bullet"/>
      <w:pStyle w:val="6BulletedLis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0" w15:restartNumberingAfterBreak="0">
    <w:nsid w:val="7D1310E7"/>
    <w:multiLevelType w:val="hybridMultilevel"/>
    <w:tmpl w:val="A3F21BA4"/>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224946469">
    <w:abstractNumId w:val="0"/>
  </w:num>
  <w:num w:numId="2" w16cid:durableId="628318439">
    <w:abstractNumId w:val="9"/>
  </w:num>
  <w:num w:numId="3" w16cid:durableId="1708261480">
    <w:abstractNumId w:val="5"/>
  </w:num>
  <w:num w:numId="4" w16cid:durableId="696543996">
    <w:abstractNumId w:val="1"/>
  </w:num>
  <w:num w:numId="5" w16cid:durableId="936988719">
    <w:abstractNumId w:val="8"/>
  </w:num>
  <w:num w:numId="6" w16cid:durableId="978343379">
    <w:abstractNumId w:val="4"/>
  </w:num>
  <w:num w:numId="7" w16cid:durableId="1920669994">
    <w:abstractNumId w:val="7"/>
  </w:num>
  <w:num w:numId="8" w16cid:durableId="1695303708">
    <w:abstractNumId w:val="2"/>
  </w:num>
  <w:num w:numId="9" w16cid:durableId="1700280578">
    <w:abstractNumId w:val="6"/>
  </w:num>
  <w:num w:numId="10" w16cid:durableId="500393802">
    <w:abstractNumId w:val="3"/>
  </w:num>
  <w:num w:numId="11" w16cid:durableId="2724434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16"/>
    <w:rsid w:val="00006CD2"/>
    <w:rsid w:val="00016315"/>
    <w:rsid w:val="00027F94"/>
    <w:rsid w:val="000321A5"/>
    <w:rsid w:val="00037D2A"/>
    <w:rsid w:val="00042A9B"/>
    <w:rsid w:val="00051D6D"/>
    <w:rsid w:val="00057FDD"/>
    <w:rsid w:val="0009037C"/>
    <w:rsid w:val="000E468E"/>
    <w:rsid w:val="000F3373"/>
    <w:rsid w:val="00100DE4"/>
    <w:rsid w:val="00115735"/>
    <w:rsid w:val="001225C3"/>
    <w:rsid w:val="0013207E"/>
    <w:rsid w:val="00191384"/>
    <w:rsid w:val="00195849"/>
    <w:rsid w:val="001B3D71"/>
    <w:rsid w:val="001C2754"/>
    <w:rsid w:val="001C28DC"/>
    <w:rsid w:val="001D20D0"/>
    <w:rsid w:val="001D5750"/>
    <w:rsid w:val="001E3456"/>
    <w:rsid w:val="00200A3F"/>
    <w:rsid w:val="00200B88"/>
    <w:rsid w:val="00214D8B"/>
    <w:rsid w:val="00215DFB"/>
    <w:rsid w:val="00244AC7"/>
    <w:rsid w:val="00250356"/>
    <w:rsid w:val="00262EAA"/>
    <w:rsid w:val="00277A2E"/>
    <w:rsid w:val="002825CA"/>
    <w:rsid w:val="002908F1"/>
    <w:rsid w:val="002C322E"/>
    <w:rsid w:val="00343A7D"/>
    <w:rsid w:val="00351F7E"/>
    <w:rsid w:val="003607EF"/>
    <w:rsid w:val="00367F9A"/>
    <w:rsid w:val="00382C74"/>
    <w:rsid w:val="003B4625"/>
    <w:rsid w:val="003D3381"/>
    <w:rsid w:val="003F26FD"/>
    <w:rsid w:val="00401947"/>
    <w:rsid w:val="00411443"/>
    <w:rsid w:val="0041750D"/>
    <w:rsid w:val="00436F23"/>
    <w:rsid w:val="00447DB1"/>
    <w:rsid w:val="00452587"/>
    <w:rsid w:val="00460913"/>
    <w:rsid w:val="004654AB"/>
    <w:rsid w:val="00465AF6"/>
    <w:rsid w:val="00472BF3"/>
    <w:rsid w:val="0047590C"/>
    <w:rsid w:val="00496E91"/>
    <w:rsid w:val="004D76E9"/>
    <w:rsid w:val="004F44D4"/>
    <w:rsid w:val="004F79F7"/>
    <w:rsid w:val="0050237E"/>
    <w:rsid w:val="00506097"/>
    <w:rsid w:val="00531D7B"/>
    <w:rsid w:val="00534731"/>
    <w:rsid w:val="00543D83"/>
    <w:rsid w:val="00572743"/>
    <w:rsid w:val="0057350C"/>
    <w:rsid w:val="00580393"/>
    <w:rsid w:val="00580F58"/>
    <w:rsid w:val="00590634"/>
    <w:rsid w:val="005C0EA2"/>
    <w:rsid w:val="005C411B"/>
    <w:rsid w:val="00601621"/>
    <w:rsid w:val="00601AFE"/>
    <w:rsid w:val="0060416A"/>
    <w:rsid w:val="0064311F"/>
    <w:rsid w:val="00651F34"/>
    <w:rsid w:val="00656C48"/>
    <w:rsid w:val="006B3701"/>
    <w:rsid w:val="006D61C9"/>
    <w:rsid w:val="006F34A5"/>
    <w:rsid w:val="0070466B"/>
    <w:rsid w:val="00720473"/>
    <w:rsid w:val="00736571"/>
    <w:rsid w:val="00760675"/>
    <w:rsid w:val="0076748A"/>
    <w:rsid w:val="00771EA4"/>
    <w:rsid w:val="00774A73"/>
    <w:rsid w:val="00791AD0"/>
    <w:rsid w:val="00792A4A"/>
    <w:rsid w:val="00793065"/>
    <w:rsid w:val="00796B8B"/>
    <w:rsid w:val="007A6FEF"/>
    <w:rsid w:val="007B5F2E"/>
    <w:rsid w:val="007D6446"/>
    <w:rsid w:val="007E73A3"/>
    <w:rsid w:val="00802A1F"/>
    <w:rsid w:val="008066F9"/>
    <w:rsid w:val="00831E30"/>
    <w:rsid w:val="00844839"/>
    <w:rsid w:val="00852C16"/>
    <w:rsid w:val="00856BC6"/>
    <w:rsid w:val="0086395D"/>
    <w:rsid w:val="00864756"/>
    <w:rsid w:val="0087024B"/>
    <w:rsid w:val="00880A30"/>
    <w:rsid w:val="00891D27"/>
    <w:rsid w:val="00894BBD"/>
    <w:rsid w:val="00897A34"/>
    <w:rsid w:val="00897C84"/>
    <w:rsid w:val="008C299E"/>
    <w:rsid w:val="008C47A2"/>
    <w:rsid w:val="008C4E68"/>
    <w:rsid w:val="008C7E1C"/>
    <w:rsid w:val="008D56B5"/>
    <w:rsid w:val="008D6293"/>
    <w:rsid w:val="008D792D"/>
    <w:rsid w:val="008E27DB"/>
    <w:rsid w:val="008E4C90"/>
    <w:rsid w:val="00922647"/>
    <w:rsid w:val="00933AE7"/>
    <w:rsid w:val="00941BED"/>
    <w:rsid w:val="00945716"/>
    <w:rsid w:val="0094787D"/>
    <w:rsid w:val="0096347C"/>
    <w:rsid w:val="0097443E"/>
    <w:rsid w:val="00985C4D"/>
    <w:rsid w:val="009A0C12"/>
    <w:rsid w:val="009A2E3E"/>
    <w:rsid w:val="009A4202"/>
    <w:rsid w:val="009B4D32"/>
    <w:rsid w:val="009E5690"/>
    <w:rsid w:val="009F2914"/>
    <w:rsid w:val="009F3A72"/>
    <w:rsid w:val="009F596A"/>
    <w:rsid w:val="009F6BE6"/>
    <w:rsid w:val="00A111C9"/>
    <w:rsid w:val="00A334A2"/>
    <w:rsid w:val="00A5487E"/>
    <w:rsid w:val="00A563DA"/>
    <w:rsid w:val="00A626DA"/>
    <w:rsid w:val="00A6433D"/>
    <w:rsid w:val="00A80278"/>
    <w:rsid w:val="00A83352"/>
    <w:rsid w:val="00A95FE1"/>
    <w:rsid w:val="00AA374B"/>
    <w:rsid w:val="00AC2F29"/>
    <w:rsid w:val="00AE34FD"/>
    <w:rsid w:val="00B20588"/>
    <w:rsid w:val="00B706B3"/>
    <w:rsid w:val="00B91EF3"/>
    <w:rsid w:val="00B9716D"/>
    <w:rsid w:val="00BA77E8"/>
    <w:rsid w:val="00BB455C"/>
    <w:rsid w:val="00BC0508"/>
    <w:rsid w:val="00BC1F61"/>
    <w:rsid w:val="00BC7F77"/>
    <w:rsid w:val="00C0462D"/>
    <w:rsid w:val="00C11261"/>
    <w:rsid w:val="00C15827"/>
    <w:rsid w:val="00C23E4F"/>
    <w:rsid w:val="00C30B95"/>
    <w:rsid w:val="00C420CC"/>
    <w:rsid w:val="00C44D72"/>
    <w:rsid w:val="00C47FD2"/>
    <w:rsid w:val="00C77508"/>
    <w:rsid w:val="00C84B27"/>
    <w:rsid w:val="00CA1963"/>
    <w:rsid w:val="00CA795A"/>
    <w:rsid w:val="00CC3070"/>
    <w:rsid w:val="00CD2A43"/>
    <w:rsid w:val="00CD7263"/>
    <w:rsid w:val="00CE3E5C"/>
    <w:rsid w:val="00D102F9"/>
    <w:rsid w:val="00D151BA"/>
    <w:rsid w:val="00D26F3C"/>
    <w:rsid w:val="00D45B9D"/>
    <w:rsid w:val="00D45D90"/>
    <w:rsid w:val="00D52DFE"/>
    <w:rsid w:val="00D70A68"/>
    <w:rsid w:val="00D83307"/>
    <w:rsid w:val="00D9196D"/>
    <w:rsid w:val="00D93623"/>
    <w:rsid w:val="00E14344"/>
    <w:rsid w:val="00E209B6"/>
    <w:rsid w:val="00E40724"/>
    <w:rsid w:val="00E52142"/>
    <w:rsid w:val="00E53DC9"/>
    <w:rsid w:val="00E747D8"/>
    <w:rsid w:val="00E86521"/>
    <w:rsid w:val="00E944CF"/>
    <w:rsid w:val="00EA11DE"/>
    <w:rsid w:val="00EC16EF"/>
    <w:rsid w:val="00ED6BBC"/>
    <w:rsid w:val="00EF6454"/>
    <w:rsid w:val="00EF7ACA"/>
    <w:rsid w:val="00F17353"/>
    <w:rsid w:val="00F21FAB"/>
    <w:rsid w:val="00F401F6"/>
    <w:rsid w:val="00F80340"/>
    <w:rsid w:val="00F84630"/>
    <w:rsid w:val="00F96E53"/>
    <w:rsid w:val="00FB5BC2"/>
    <w:rsid w:val="00FC4C46"/>
    <w:rsid w:val="00FD16D0"/>
    <w:rsid w:val="00FE7A71"/>
    <w:rsid w:val="00FF58AA"/>
    <w:rsid w:val="0E40F61F"/>
    <w:rsid w:val="18C86896"/>
    <w:rsid w:val="7E8C544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1AE7E"/>
  <w15:docId w15:val="{ACE3FD17-1543-4D1C-9B13-73CB0570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semiHidden="1" w:unhideWhenUsed="1" w:qFormat="1"/>
    <w:lsdException w:name="heading 3" w:uiPriority="2"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5C0EA2"/>
  </w:style>
  <w:style w:type="paragraph" w:styleId="Heading1">
    <w:name w:val="heading 1"/>
    <w:basedOn w:val="Title"/>
    <w:next w:val="Normal"/>
    <w:link w:val="Heading1Char"/>
    <w:qFormat/>
    <w:rsid w:val="00771EA4"/>
    <w:pPr>
      <w:spacing w:after="160"/>
      <w:outlineLvl w:val="0"/>
    </w:pPr>
    <w:rPr>
      <w:rFonts w:ascii="Arial" w:hAnsi="Arial" w:eastAsia="Times New Roman" w:cs="Arial"/>
      <w:b/>
      <w:color w:val="4F2454"/>
      <w:sz w:val="48"/>
      <w:szCs w:val="48"/>
    </w:rPr>
  </w:style>
  <w:style w:type="paragraph" w:styleId="Heading2">
    <w:name w:val="heading 2"/>
    <w:basedOn w:val="Normal"/>
    <w:next w:val="Normal"/>
    <w:link w:val="Heading2Char"/>
    <w:uiPriority w:val="1"/>
    <w:unhideWhenUsed/>
    <w:qFormat/>
    <w:rsid w:val="00771EA4"/>
    <w:pPr>
      <w:outlineLvl w:val="1"/>
    </w:pPr>
    <w:rPr>
      <w:rFonts w:ascii="Arial" w:hAnsi="Arial" w:eastAsia="Cambria" w:cs="Arial"/>
      <w:color w:val="4F2454"/>
      <w:sz w:val="32"/>
      <w:szCs w:val="32"/>
    </w:rPr>
  </w:style>
  <w:style w:type="paragraph" w:styleId="Heading3">
    <w:name w:val="heading 3"/>
    <w:basedOn w:val="Normal"/>
    <w:next w:val="Normal"/>
    <w:link w:val="Heading3Char"/>
    <w:uiPriority w:val="2"/>
    <w:unhideWhenUsed/>
    <w:qFormat/>
    <w:rsid w:val="008C4E68"/>
    <w:pPr>
      <w:outlineLvl w:val="2"/>
    </w:pPr>
    <w:rPr>
      <w:rFonts w:ascii="Arial" w:hAnsi="Arial" w:eastAsia="Cambria" w:cs="Arial"/>
      <w:b/>
    </w:rPr>
  </w:style>
  <w:style w:type="paragraph" w:styleId="Heading4">
    <w:name w:val="heading 4"/>
    <w:aliases w:val="Body"/>
    <w:basedOn w:val="Normal"/>
    <w:next w:val="Normal"/>
    <w:link w:val="Heading4Char"/>
    <w:uiPriority w:val="9"/>
    <w:unhideWhenUsed/>
    <w:qFormat/>
    <w:rsid w:val="008C4E68"/>
    <w:pPr>
      <w:outlineLvl w:val="3"/>
    </w:pPr>
    <w:rPr>
      <w:rFonts w:ascii="Arial" w:hAnsi="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0462D"/>
    <w:pPr>
      <w:tabs>
        <w:tab w:val="center" w:pos="4320"/>
        <w:tab w:val="right" w:pos="8640"/>
      </w:tabs>
    </w:pPr>
  </w:style>
  <w:style w:type="character" w:styleId="HeaderChar" w:customStyle="1">
    <w:name w:val="Header Char"/>
    <w:basedOn w:val="DefaultParagraphFont"/>
    <w:link w:val="Header"/>
    <w:uiPriority w:val="99"/>
    <w:rsid w:val="00C0462D"/>
  </w:style>
  <w:style w:type="paragraph" w:styleId="Footer">
    <w:name w:val="footer"/>
    <w:basedOn w:val="Normal"/>
    <w:link w:val="FooterChar"/>
    <w:uiPriority w:val="99"/>
    <w:unhideWhenUsed/>
    <w:rsid w:val="00C0462D"/>
    <w:pPr>
      <w:tabs>
        <w:tab w:val="center" w:pos="4320"/>
        <w:tab w:val="right" w:pos="8640"/>
      </w:tabs>
    </w:pPr>
  </w:style>
  <w:style w:type="character" w:styleId="FooterChar" w:customStyle="1">
    <w:name w:val="Footer Char"/>
    <w:basedOn w:val="DefaultParagraphFont"/>
    <w:link w:val="Footer"/>
    <w:uiPriority w:val="99"/>
    <w:rsid w:val="00C0462D"/>
  </w:style>
  <w:style w:type="paragraph" w:styleId="BalloonText">
    <w:name w:val="Balloon Text"/>
    <w:basedOn w:val="Normal"/>
    <w:link w:val="BalloonTextChar"/>
    <w:uiPriority w:val="99"/>
    <w:semiHidden/>
    <w:unhideWhenUsed/>
    <w:rsid w:val="00C0462D"/>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C0462D"/>
    <w:rPr>
      <w:rFonts w:ascii="Lucida Grande" w:hAnsi="Lucida Grande" w:cs="Lucida Grande"/>
      <w:sz w:val="18"/>
      <w:szCs w:val="18"/>
    </w:rPr>
  </w:style>
  <w:style w:type="character" w:styleId="Heading1Char" w:customStyle="1">
    <w:name w:val="Heading 1 Char"/>
    <w:basedOn w:val="DefaultParagraphFont"/>
    <w:link w:val="Heading1"/>
    <w:rsid w:val="00771EA4"/>
    <w:rPr>
      <w:rFonts w:ascii="Arial" w:hAnsi="Arial" w:eastAsia="Times New Roman" w:cs="Arial"/>
      <w:b/>
      <w:color w:val="4F2454"/>
      <w:spacing w:val="-10"/>
      <w:kern w:val="28"/>
      <w:sz w:val="48"/>
      <w:szCs w:val="48"/>
    </w:rPr>
  </w:style>
  <w:style w:type="character" w:styleId="Heading2Char" w:customStyle="1">
    <w:name w:val="Heading 2 Char"/>
    <w:basedOn w:val="DefaultParagraphFont"/>
    <w:link w:val="Heading2"/>
    <w:uiPriority w:val="1"/>
    <w:rsid w:val="00771EA4"/>
    <w:rPr>
      <w:rFonts w:ascii="Arial" w:hAnsi="Arial" w:eastAsia="Cambria" w:cs="Arial"/>
      <w:color w:val="4F2454"/>
      <w:sz w:val="32"/>
      <w:szCs w:val="32"/>
    </w:rPr>
  </w:style>
  <w:style w:type="character" w:styleId="Heading3Char" w:customStyle="1">
    <w:name w:val="Heading 3 Char"/>
    <w:basedOn w:val="DefaultParagraphFont"/>
    <w:link w:val="Heading3"/>
    <w:uiPriority w:val="2"/>
    <w:rsid w:val="008C4E68"/>
    <w:rPr>
      <w:rFonts w:ascii="Arial" w:hAnsi="Arial" w:eastAsia="Cambria" w:cs="Arial"/>
      <w:b/>
    </w:rPr>
  </w:style>
  <w:style w:type="character" w:styleId="Heading4Char" w:customStyle="1">
    <w:name w:val="Heading 4 Char"/>
    <w:aliases w:val="Body Char"/>
    <w:basedOn w:val="DefaultParagraphFont"/>
    <w:link w:val="Heading4"/>
    <w:uiPriority w:val="9"/>
    <w:rsid w:val="008C4E68"/>
    <w:rPr>
      <w:rFonts w:ascii="Arial" w:hAnsi="Arial" w:cs="Arial"/>
    </w:rPr>
  </w:style>
  <w:style w:type="paragraph" w:styleId="ListParagraph">
    <w:name w:val="List Paragraph"/>
    <w:aliases w:val="Bullet List"/>
    <w:basedOn w:val="6BulletedList"/>
    <w:link w:val="ListParagraphChar"/>
    <w:uiPriority w:val="5"/>
    <w:qFormat/>
    <w:rsid w:val="008C4E68"/>
  </w:style>
  <w:style w:type="character" w:styleId="ListParagraphChar" w:customStyle="1">
    <w:name w:val="List Paragraph Char"/>
    <w:aliases w:val="Bullet List Char"/>
    <w:basedOn w:val="DefaultParagraphFont"/>
    <w:link w:val="ListParagraph"/>
    <w:uiPriority w:val="5"/>
    <w:rsid w:val="008C4E68"/>
    <w:rPr>
      <w:rFonts w:ascii="Arial" w:hAnsi="Arial" w:cs="Arial" w:eastAsiaTheme="minorHAnsi"/>
    </w:rPr>
  </w:style>
  <w:style w:type="paragraph" w:styleId="6BulletedList" w:customStyle="1">
    <w:name w:val="6: Bulleted List"/>
    <w:basedOn w:val="Normal"/>
    <w:link w:val="6BulletedListChar"/>
    <w:qFormat/>
    <w:rsid w:val="009E5690"/>
    <w:pPr>
      <w:numPr>
        <w:numId w:val="2"/>
      </w:numPr>
      <w:ind w:left="284" w:hanging="284"/>
    </w:pPr>
    <w:rPr>
      <w:rFonts w:ascii="Arial" w:hAnsi="Arial" w:cs="Arial"/>
    </w:rPr>
  </w:style>
  <w:style w:type="character" w:styleId="6BulletedListChar" w:customStyle="1">
    <w:name w:val="6: Bulleted List Char"/>
    <w:basedOn w:val="DefaultParagraphFont"/>
    <w:link w:val="6BulletedList"/>
    <w:rsid w:val="009E5690"/>
    <w:rPr>
      <w:rFonts w:ascii="Arial" w:hAnsi="Arial" w:cs="Arial"/>
    </w:rPr>
  </w:style>
  <w:style w:type="paragraph" w:styleId="NumberedList" w:customStyle="1">
    <w:name w:val="Numbered List"/>
    <w:basedOn w:val="Normal"/>
    <w:link w:val="NumberedListChar"/>
    <w:qFormat/>
    <w:rsid w:val="008C4E68"/>
    <w:pPr>
      <w:numPr>
        <w:numId w:val="1"/>
      </w:numPr>
      <w:ind w:left="284" w:hanging="284"/>
      <w:contextualSpacing/>
    </w:pPr>
    <w:rPr>
      <w:rFonts w:ascii="Arial" w:hAnsi="Arial" w:cs="Arial" w:eastAsiaTheme="minorHAnsi"/>
    </w:rPr>
  </w:style>
  <w:style w:type="character" w:styleId="NumberedListChar" w:customStyle="1">
    <w:name w:val="Numbered List Char"/>
    <w:basedOn w:val="DefaultParagraphFont"/>
    <w:link w:val="NumberedList"/>
    <w:rsid w:val="008C4E68"/>
    <w:rPr>
      <w:rFonts w:ascii="Arial" w:hAnsi="Arial" w:cs="Arial" w:eastAsiaTheme="minorHAnsi"/>
    </w:rPr>
  </w:style>
  <w:style w:type="paragraph" w:styleId="Title">
    <w:name w:val="Title"/>
    <w:basedOn w:val="Normal"/>
    <w:next w:val="Normal"/>
    <w:link w:val="TitleChar"/>
    <w:uiPriority w:val="10"/>
    <w:rsid w:val="008C4E68"/>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C4E68"/>
    <w:rPr>
      <w:rFonts w:asciiTheme="majorHAnsi" w:hAnsiTheme="majorHAnsi" w:eastAsiaTheme="majorEastAsia" w:cstheme="majorBidi"/>
      <w:spacing w:val="-10"/>
      <w:kern w:val="28"/>
      <w:sz w:val="56"/>
      <w:szCs w:val="56"/>
    </w:rPr>
  </w:style>
  <w:style w:type="table" w:styleId="TableGrid">
    <w:name w:val="Table Grid"/>
    <w:basedOn w:val="TableNormal"/>
    <w:uiPriority w:val="59"/>
    <w:rsid w:val="00CD2A4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894B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ianonRose-Thomas\Downloads\VoiceAbility%20report%20template%20with%20cover%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BBB444EC1B24B90F33DADEFC499AF" ma:contentTypeVersion="15" ma:contentTypeDescription="Create a new document." ma:contentTypeScope="" ma:versionID="5589f28b0eafd784db65affa5efc6c3c">
  <xsd:schema xmlns:xsd="http://www.w3.org/2001/XMLSchema" xmlns:xs="http://www.w3.org/2001/XMLSchema" xmlns:p="http://schemas.microsoft.com/office/2006/metadata/properties" xmlns:ns2="22e6fc3f-7c6c-4836-82b0-50e72bb82441" xmlns:ns3="d499ab17-a742-4df4-a3f3-38af0bc0ec77" targetNamespace="http://schemas.microsoft.com/office/2006/metadata/properties" ma:root="true" ma:fieldsID="b3c02db82bac383d415896bfae051515" ns2:_="" ns3:_="">
    <xsd:import namespace="22e6fc3f-7c6c-4836-82b0-50e72bb82441"/>
    <xsd:import namespace="d499ab17-a742-4df4-a3f3-38af0bc0ec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6fc3f-7c6c-4836-82b0-50e72bb82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3186ca7-9c47-4a2f-8a3e-2e3c8422a76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99ab17-a742-4df4-a3f3-38af0bc0ec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ad9fd0e-df8b-4878-bc68-2c6003a20963}" ma:internalName="TaxCatchAll" ma:showField="CatchAllData" ma:web="d499ab17-a742-4df4-a3f3-38af0bc0e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99ab17-a742-4df4-a3f3-38af0bc0ec77" xsi:nil="true"/>
    <lcf76f155ced4ddcb4097134ff3c332f xmlns="22e6fc3f-7c6c-4836-82b0-50e72bb824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8118C-799D-4E3D-B17F-FC773C06F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6fc3f-7c6c-4836-82b0-50e72bb82441"/>
    <ds:schemaRef ds:uri="d499ab17-a742-4df4-a3f3-38af0bc0e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D4BB2-6955-4BEC-B669-592F055042FF}">
  <ds:schemaRefs>
    <ds:schemaRef ds:uri="http://schemas.microsoft.com/sharepoint/v3/contenttype/forms"/>
  </ds:schemaRefs>
</ds:datastoreItem>
</file>

<file path=customXml/itemProps3.xml><?xml version="1.0" encoding="utf-8"?>
<ds:datastoreItem xmlns:ds="http://schemas.openxmlformats.org/officeDocument/2006/customXml" ds:itemID="{64FF72BC-D38D-4F36-9010-4CF3524E31DE}">
  <ds:schemaRefs>
    <ds:schemaRef ds:uri="http://schemas.microsoft.com/office/2006/metadata/properties"/>
    <ds:schemaRef ds:uri="http://schemas.microsoft.com/office/infopath/2007/PartnerControls"/>
    <ds:schemaRef ds:uri="d499ab17-a742-4df4-a3f3-38af0bc0ec77"/>
    <ds:schemaRef ds:uri="22e6fc3f-7c6c-4836-82b0-50e72bb82441"/>
  </ds:schemaRefs>
</ds:datastoreItem>
</file>

<file path=customXml/itemProps4.xml><?xml version="1.0" encoding="utf-8"?>
<ds:datastoreItem xmlns:ds="http://schemas.openxmlformats.org/officeDocument/2006/customXml" ds:itemID="{E1D649D8-1D86-40D7-9AD2-F39BF39AE00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VoiceAbility report template with cover 2020</ap:Template>
  <ap:Application>Microsoft Word for the web</ap:Application>
  <ap:DocSecurity>0</ap:DocSecurity>
  <ap:PresentationFormat>12|.DOCX</ap:PresentationFormat>
  <ap:ScaleCrop>false</ap:ScaleCrop>
  <ap:Company>V3Print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Rhianon Rose-Thomas</dc:creator>
  <keywords/>
  <dc:description/>
  <lastModifiedBy>Rhianon Rose-Thomas</lastModifiedBy>
  <revision>144</revision>
  <lastPrinted>2015-04-02T15:01:00.0000000Z</lastPrinted>
  <dcterms:created xsi:type="dcterms:W3CDTF">2026-03-23T16:11:00.0000000Z</dcterms:created>
  <dcterms:modified xsi:type="dcterms:W3CDTF">2026-03-31T08:37:19.3843494Z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0x010100F76BBB444EC1B24B90F33DADEFC499AF</vt:lpwstr>
  </property>
  <property fmtid="{D5CDD505-2E9C-101B-9397-08002B2CF9AE}" pid="3" name="MediaServiceImageTags">
    <vt:lpwstr/>
  </property>
</Properties>
</file>